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32B3FB0A" w:rsidR="006F5FD0" w:rsidRPr="00B33EE6" w:rsidRDefault="006F5FD0" w:rsidP="00347E84">
      <w:pPr>
        <w:jc w:val="center"/>
        <w:rPr>
          <w:sz w:val="28"/>
          <w:szCs w:val="28"/>
          <w:lang w:val="en-GB"/>
        </w:rPr>
      </w:pPr>
      <w:r w:rsidRPr="005E0568">
        <w:rPr>
          <w:rStyle w:val="Strong"/>
          <w:sz w:val="28"/>
          <w:szCs w:val="28"/>
          <w:lang w:val="en-GB"/>
        </w:rPr>
        <w:t>Contract title</w:t>
      </w:r>
      <w:r w:rsidR="00A07AF6" w:rsidRPr="005E0568">
        <w:rPr>
          <w:rStyle w:val="Strong"/>
          <w:sz w:val="28"/>
          <w:szCs w:val="28"/>
          <w:lang w:val="en-GB"/>
        </w:rPr>
        <w:t>: Supply of equipment for sampling, laboratory analysis and consumables for detecting the microplastics in water</w:t>
      </w:r>
      <w:r w:rsidR="00CB5DD8" w:rsidRPr="005E0568">
        <w:rPr>
          <w:rStyle w:val="Strong"/>
          <w:sz w:val="28"/>
          <w:szCs w:val="28"/>
          <w:lang w:val="sr-Cyrl-RS"/>
        </w:rPr>
        <w:t xml:space="preserve"> </w:t>
      </w:r>
      <w:r w:rsidR="00FD6B5D" w:rsidRPr="005E0568">
        <w:rPr>
          <w:rStyle w:val="Strong"/>
          <w:sz w:val="28"/>
          <w:szCs w:val="28"/>
          <w:lang w:val="sr-Cyrl-RS"/>
        </w:rPr>
        <w:t>for the project MICROPLASTICS</w:t>
      </w:r>
      <w:r w:rsidRPr="00B33EE6">
        <w:rPr>
          <w:rStyle w:val="Strong"/>
          <w:sz w:val="28"/>
          <w:szCs w:val="28"/>
          <w:lang w:val="en-GB"/>
        </w:rPr>
        <w:br/>
      </w:r>
      <w:r w:rsidRPr="00A07AF6">
        <w:rPr>
          <w:rStyle w:val="Strong"/>
          <w:sz w:val="28"/>
          <w:szCs w:val="28"/>
          <w:lang w:val="en-GB"/>
        </w:rPr>
        <w:t xml:space="preserve">Location </w:t>
      </w:r>
      <w:r w:rsidR="00A07AF6" w:rsidRPr="00A07AF6">
        <w:rPr>
          <w:rStyle w:val="Strong"/>
          <w:sz w:val="28"/>
          <w:szCs w:val="28"/>
          <w:lang w:val="en-GB"/>
        </w:rPr>
        <w:t>–</w:t>
      </w:r>
      <w:r w:rsidRPr="00A07AF6">
        <w:rPr>
          <w:rStyle w:val="Strong"/>
          <w:sz w:val="28"/>
          <w:szCs w:val="28"/>
          <w:lang w:val="en-GB"/>
        </w:rPr>
        <w:t xml:space="preserve"> </w:t>
      </w:r>
      <w:r w:rsidR="00A07AF6" w:rsidRPr="00A07AF6">
        <w:rPr>
          <w:rStyle w:val="Emphasis"/>
          <w:i w:val="0"/>
          <w:sz w:val="28"/>
          <w:szCs w:val="28"/>
          <w:lang w:val="en-GB"/>
        </w:rPr>
        <w:t>Novi Sad, Vojvodina, Republic of Serbia</w:t>
      </w:r>
      <w:r w:rsidRPr="00B33EE6">
        <w:rPr>
          <w:rStyle w:val="Emphasis"/>
          <w:i w:val="0"/>
          <w:sz w:val="28"/>
          <w:szCs w:val="28"/>
          <w:lang w:val="en-GB"/>
        </w:rPr>
        <w:t xml:space="preserve"> </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68944F57" w:rsidR="006F5FD0" w:rsidRPr="00B33EE6" w:rsidRDefault="006F5FD0" w:rsidP="00371C5B">
      <w:pPr>
        <w:pStyle w:val="Blockquote"/>
        <w:spacing w:before="40" w:after="60"/>
        <w:ind w:left="284" w:right="0"/>
        <w:rPr>
          <w:i/>
          <w:sz w:val="22"/>
          <w:szCs w:val="22"/>
          <w:lang w:val="en-GB"/>
        </w:rPr>
      </w:pPr>
      <w:r w:rsidRPr="00B33EE6">
        <w:rPr>
          <w:rStyle w:val="Emphasis"/>
          <w:i w:val="0"/>
          <w:sz w:val="22"/>
          <w:szCs w:val="22"/>
          <w:lang w:val="en-GB"/>
        </w:rPr>
        <w:t xml:space="preserve"> </w:t>
      </w:r>
      <w:bookmarkStart w:id="0" w:name="_Hlk193981608"/>
      <w:r w:rsidR="00B26A26" w:rsidRPr="00B26A26">
        <w:rPr>
          <w:rStyle w:val="Emphasis"/>
          <w:i w:val="0"/>
          <w:sz w:val="22"/>
          <w:szCs w:val="22"/>
          <w:lang w:val="en-GB"/>
        </w:rPr>
        <w:t>01-94/8/HU-SRB supply</w:t>
      </w:r>
      <w:bookmarkEnd w:id="0"/>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463E9B67" w:rsidR="006F5FD0" w:rsidRPr="00B33EE6" w:rsidRDefault="00584BF4" w:rsidP="00371C5B">
      <w:pPr>
        <w:pStyle w:val="Blockquote"/>
        <w:spacing w:before="40" w:after="60"/>
        <w:ind w:left="284" w:right="0"/>
        <w:rPr>
          <w:sz w:val="22"/>
          <w:szCs w:val="22"/>
          <w:lang w:val="en-GB"/>
        </w:rPr>
      </w:pPr>
      <w:r w:rsidRPr="00B33EE6">
        <w:rPr>
          <w:sz w:val="22"/>
          <w:szCs w:val="22"/>
          <w:lang w:val="en-GB"/>
        </w:rPr>
        <w:t xml:space="preserve"> </w:t>
      </w:r>
      <w:r w:rsidR="00A07AF6" w:rsidRPr="00A07AF6">
        <w:rPr>
          <w:sz w:val="22"/>
          <w:szCs w:val="22"/>
          <w:lang w:val="en-GB"/>
        </w:rPr>
        <w:t>Local open tender procedure</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BC8AEF3" w:rsidR="00971962" w:rsidRPr="00A07AF6" w:rsidRDefault="00A07AF6" w:rsidP="00371C5B">
      <w:pPr>
        <w:pStyle w:val="Blockquote"/>
        <w:spacing w:before="40" w:after="60"/>
        <w:ind w:left="284" w:right="0"/>
        <w:rPr>
          <w:sz w:val="22"/>
          <w:szCs w:val="22"/>
          <w:lang w:val="en-GB"/>
        </w:rPr>
      </w:pPr>
      <w:r w:rsidRPr="00A07AF6">
        <w:rPr>
          <w:sz w:val="22"/>
          <w:szCs w:val="22"/>
          <w:lang w:val="en-GB"/>
        </w:rPr>
        <w:t>Interreg VI-A IPA programme Hungary – Serbia Serbia 2021-2027</w:t>
      </w:r>
    </w:p>
    <w:p w14:paraId="797EC4DC"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E59DF46" w14:textId="77777777" w:rsidR="002E4D07" w:rsidRPr="00B33EE6" w:rsidRDefault="002E4D07" w:rsidP="002E4D07">
      <w:pPr>
        <w:pStyle w:val="Blockquote"/>
        <w:spacing w:before="40" w:after="60"/>
        <w:ind w:left="284" w:right="0"/>
        <w:rPr>
          <w:sz w:val="22"/>
          <w:szCs w:val="22"/>
          <w:lang w:val="en-GB"/>
        </w:rPr>
      </w:pPr>
      <w:r w:rsidRPr="00A07AF6">
        <w:rPr>
          <w:sz w:val="22"/>
          <w:szCs w:val="22"/>
          <w:lang w:val="en-GB"/>
        </w:rPr>
        <w:t>HUSRB/23R/12/089</w:t>
      </w:r>
      <w:r>
        <w:rPr>
          <w:sz w:val="22"/>
          <w:szCs w:val="22"/>
          <w:lang w:val="en-GB"/>
        </w:rPr>
        <w:t xml:space="preserve"> - </w:t>
      </w:r>
      <w:r w:rsidRPr="00A07AF6">
        <w:rPr>
          <w:sz w:val="22"/>
          <w:szCs w:val="22"/>
          <w:lang w:val="en-GB"/>
        </w:rPr>
        <w:t>MICROPLASTICS</w:t>
      </w:r>
    </w:p>
    <w:p w14:paraId="03ED8384"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7358B3CD" w:rsidR="006F5FD0" w:rsidRDefault="00B5423B" w:rsidP="00B5423B">
      <w:pPr>
        <w:ind w:left="360"/>
        <w:contextualSpacing/>
        <w:jc w:val="both"/>
        <w:rPr>
          <w:rStyle w:val="Emphasis"/>
          <w:i w:val="0"/>
          <w:sz w:val="22"/>
          <w:szCs w:val="22"/>
          <w:lang w:val="en-GB"/>
        </w:rPr>
      </w:pPr>
      <w:bookmarkStart w:id="1" w:name="_Hlk169255215"/>
      <w:r w:rsidRPr="00B5423B">
        <w:rPr>
          <w:rStyle w:val="Emphasis"/>
          <w:i w:val="0"/>
          <w:sz w:val="22"/>
          <w:szCs w:val="22"/>
          <w:lang w:val="en-GB"/>
        </w:rPr>
        <w:t>Institute of public health of Vojvodina</w:t>
      </w:r>
    </w:p>
    <w:p w14:paraId="11604CD3" w14:textId="21781C10" w:rsidR="00B5423B" w:rsidRDefault="00B5423B" w:rsidP="00B5423B">
      <w:pPr>
        <w:ind w:left="360"/>
        <w:contextualSpacing/>
        <w:jc w:val="both"/>
        <w:rPr>
          <w:rStyle w:val="Emphasis"/>
          <w:i w:val="0"/>
          <w:sz w:val="22"/>
          <w:szCs w:val="22"/>
          <w:lang w:val="en-GB"/>
        </w:rPr>
      </w:pPr>
      <w:r w:rsidRPr="00B5423B">
        <w:rPr>
          <w:rStyle w:val="Emphasis"/>
          <w:i w:val="0"/>
          <w:sz w:val="22"/>
          <w:szCs w:val="22"/>
          <w:lang w:val="en-GB"/>
        </w:rPr>
        <w:t>Futoška 121</w:t>
      </w:r>
    </w:p>
    <w:p w14:paraId="17D9466A" w14:textId="6D3AC864" w:rsidR="00B5423B" w:rsidRDefault="00B5423B" w:rsidP="00B5423B">
      <w:pPr>
        <w:ind w:left="360"/>
        <w:contextualSpacing/>
        <w:jc w:val="both"/>
        <w:rPr>
          <w:rStyle w:val="Emphasis"/>
          <w:i w:val="0"/>
          <w:sz w:val="22"/>
          <w:szCs w:val="22"/>
          <w:lang w:val="en-GB"/>
        </w:rPr>
      </w:pPr>
      <w:r>
        <w:rPr>
          <w:rStyle w:val="Emphasis"/>
          <w:i w:val="0"/>
          <w:sz w:val="22"/>
          <w:szCs w:val="22"/>
          <w:lang w:val="en-GB"/>
        </w:rPr>
        <w:t>Novi Sad, Republic of Serbia</w:t>
      </w:r>
    </w:p>
    <w:bookmarkEnd w:id="1"/>
    <w:p w14:paraId="67F4A905" w14:textId="77777777" w:rsidR="006F5FD0" w:rsidRPr="00B33EE6" w:rsidRDefault="000D50F1" w:rsidP="00347E84">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136F56CF" w:rsidR="006F5FD0" w:rsidRPr="00B33EE6" w:rsidRDefault="00172785" w:rsidP="00371C5B">
      <w:pPr>
        <w:pStyle w:val="Blockquote"/>
        <w:spacing w:before="40" w:after="60"/>
        <w:ind w:left="284" w:right="0"/>
        <w:rPr>
          <w:i/>
          <w:sz w:val="22"/>
          <w:szCs w:val="22"/>
          <w:lang w:val="en-GB"/>
        </w:rPr>
      </w:pPr>
      <w:r w:rsidRPr="00B5423B">
        <w:rPr>
          <w:rStyle w:val="Emphasis"/>
          <w:i w:val="0"/>
          <w:sz w:val="22"/>
          <w:szCs w:val="22"/>
          <w:lang w:val="en-GB"/>
        </w:rPr>
        <w:t>U</w:t>
      </w:r>
      <w:r w:rsidR="008A1184" w:rsidRPr="00B5423B">
        <w:rPr>
          <w:rStyle w:val="Emphasis"/>
          <w:i w:val="0"/>
          <w:sz w:val="22"/>
          <w:szCs w:val="22"/>
          <w:lang w:val="en-GB"/>
        </w:rPr>
        <w:t>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DD8D304" w14:textId="3ECC0036" w:rsidR="00B5423B" w:rsidRDefault="00B5423B" w:rsidP="00B5423B">
      <w:pPr>
        <w:pStyle w:val="Blockquote"/>
        <w:spacing w:before="40" w:after="60"/>
        <w:ind w:left="284" w:right="0"/>
        <w:jc w:val="both"/>
        <w:rPr>
          <w:sz w:val="22"/>
          <w:szCs w:val="22"/>
          <w:lang w:val="en-GB"/>
        </w:rPr>
      </w:pPr>
      <w:r w:rsidRPr="00B5423B">
        <w:rPr>
          <w:b/>
          <w:sz w:val="22"/>
          <w:szCs w:val="22"/>
          <w:lang w:val="en-GB"/>
        </w:rPr>
        <w:t>Institute of public health of Vojvodina</w:t>
      </w:r>
      <w:r>
        <w:rPr>
          <w:sz w:val="22"/>
          <w:szCs w:val="22"/>
          <w:lang w:val="en-GB"/>
        </w:rPr>
        <w:t xml:space="preserve"> </w:t>
      </w:r>
      <w:r w:rsidRPr="00B5423B">
        <w:rPr>
          <w:sz w:val="22"/>
          <w:szCs w:val="22"/>
          <w:lang w:val="en-GB"/>
        </w:rPr>
        <w:t xml:space="preserve">is implementing </w:t>
      </w:r>
      <w:r>
        <w:rPr>
          <w:sz w:val="22"/>
          <w:szCs w:val="22"/>
          <w:lang w:val="en-GB"/>
        </w:rPr>
        <w:t xml:space="preserve">project “Micropastics” under the Programme </w:t>
      </w:r>
      <w:r w:rsidRPr="00B5423B">
        <w:rPr>
          <w:sz w:val="22"/>
          <w:szCs w:val="22"/>
          <w:lang w:val="en-GB"/>
        </w:rPr>
        <w:t xml:space="preserve">Interreg IPA CBC Hungary-Serbia project. </w:t>
      </w:r>
      <w:r>
        <w:rPr>
          <w:sz w:val="22"/>
          <w:szCs w:val="22"/>
          <w:lang w:val="en-GB"/>
        </w:rPr>
        <w:t xml:space="preserve">In order to </w:t>
      </w:r>
      <w:r w:rsidRPr="00B5423B">
        <w:rPr>
          <w:sz w:val="22"/>
          <w:szCs w:val="22"/>
          <w:lang w:val="en-GB"/>
        </w:rPr>
        <w:t>enhance environmental protection and reduce pollution by identifying sources and reducing microplastic pollution in the water ecosystem</w:t>
      </w:r>
      <w:r>
        <w:rPr>
          <w:sz w:val="22"/>
          <w:szCs w:val="22"/>
          <w:lang w:val="en-GB"/>
        </w:rPr>
        <w:t xml:space="preserve">, Contracting Authority is launching local open tender procedure </w:t>
      </w:r>
      <w:r>
        <w:rPr>
          <w:sz w:val="22"/>
          <w:szCs w:val="22"/>
        </w:rPr>
        <w:t>“</w:t>
      </w:r>
      <w:r w:rsidRPr="00B5423B">
        <w:rPr>
          <w:sz w:val="22"/>
          <w:szCs w:val="22"/>
          <w:lang w:val="en-GB"/>
        </w:rPr>
        <w:t>Supply of equipment for sampling, laboratory analysis and consumables for detecting the microplastics in water</w:t>
      </w:r>
      <w:r>
        <w:rPr>
          <w:sz w:val="22"/>
          <w:szCs w:val="22"/>
          <w:lang w:val="en-GB"/>
        </w:rPr>
        <w:t>”</w:t>
      </w:r>
      <w:r w:rsidR="00336E66">
        <w:rPr>
          <w:sz w:val="22"/>
          <w:szCs w:val="22"/>
          <w:lang w:val="en-GB"/>
        </w:rPr>
        <w:t xml:space="preserve">. Procured equipment must be delivered at official </w:t>
      </w:r>
      <w:r w:rsidR="001D68E8">
        <w:rPr>
          <w:sz w:val="22"/>
          <w:szCs w:val="22"/>
          <w:lang w:val="en-GB"/>
        </w:rPr>
        <w:t>address</w:t>
      </w:r>
      <w:r w:rsidR="00336E66">
        <w:rPr>
          <w:sz w:val="22"/>
          <w:szCs w:val="22"/>
          <w:lang w:val="en-GB"/>
        </w:rPr>
        <w:t xml:space="preserve"> of the Contracting Authority in Novi Sad, Futoška 121.</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BCDA1FA" w14:textId="6CEC124F" w:rsidR="00820CDB" w:rsidRPr="00336E66" w:rsidRDefault="00820CDB" w:rsidP="00336E66">
      <w:pPr>
        <w:pStyle w:val="Blockquote"/>
        <w:spacing w:before="40" w:after="60"/>
        <w:ind w:left="284" w:right="0"/>
        <w:rPr>
          <w:rStyle w:val="Strong"/>
          <w:b w:val="0"/>
          <w:sz w:val="22"/>
          <w:szCs w:val="22"/>
          <w:lang w:val="en-GB"/>
        </w:rPr>
      </w:pPr>
      <w:r w:rsidRPr="00F236C9">
        <w:rPr>
          <w:rStyle w:val="Strong"/>
          <w:b w:val="0"/>
          <w:sz w:val="22"/>
          <w:szCs w:val="22"/>
          <w:lang w:val="en-GB"/>
        </w:rPr>
        <w:t>This contract is divided into lots</w:t>
      </w:r>
      <w:r w:rsidRPr="00336E66">
        <w:rPr>
          <w:rStyle w:val="Strong"/>
          <w:b w:val="0"/>
          <w:sz w:val="22"/>
          <w:szCs w:val="22"/>
          <w:lang w:val="en-GB"/>
        </w:rPr>
        <w:t>:</w:t>
      </w:r>
      <w:r w:rsidRPr="00336E66">
        <w:rPr>
          <w:rStyle w:val="Strong"/>
          <w:sz w:val="22"/>
          <w:szCs w:val="22"/>
          <w:lang w:val="en-GB"/>
        </w:rPr>
        <w:t xml:space="preserve"> </w:t>
      </w:r>
      <w:r w:rsidR="00B875B0">
        <w:rPr>
          <w:rStyle w:val="Strong"/>
          <w:b w:val="0"/>
          <w:sz w:val="22"/>
          <w:szCs w:val="22"/>
          <w:lang w:val="en-GB"/>
        </w:rPr>
        <w:t>Y</w:t>
      </w:r>
      <w:r w:rsidRPr="00336E66">
        <w:rPr>
          <w:rStyle w:val="Strong"/>
          <w:b w:val="0"/>
          <w:sz w:val="22"/>
          <w:szCs w:val="22"/>
          <w:lang w:val="en-GB"/>
        </w:rPr>
        <w:t>es</w:t>
      </w:r>
    </w:p>
    <w:p w14:paraId="4ACBDD52" w14:textId="1AD2C453" w:rsidR="00820CDB" w:rsidRDefault="00BE3618" w:rsidP="00371C5B">
      <w:pPr>
        <w:ind w:left="284"/>
        <w:outlineLvl w:val="0"/>
        <w:rPr>
          <w:rStyle w:val="Strong"/>
          <w:b w:val="0"/>
          <w:sz w:val="22"/>
          <w:szCs w:val="22"/>
        </w:rPr>
      </w:pPr>
      <w:r w:rsidRPr="002E4D07">
        <w:rPr>
          <w:rStyle w:val="Strong"/>
          <w:b w:val="0"/>
          <w:bCs/>
          <w:sz w:val="22"/>
          <w:szCs w:val="22"/>
        </w:rPr>
        <w:t>Tenders may be submitted by the same tenderer for maximum 2 lots.</w:t>
      </w:r>
      <w:r w:rsidR="00820CDB" w:rsidRPr="000D50F1">
        <w:rPr>
          <w:rStyle w:val="Strong"/>
          <w:b w:val="0"/>
          <w:sz w:val="22"/>
          <w:szCs w:val="22"/>
          <w:highlight w:val="lightGray"/>
        </w:rPr>
        <w:br/>
      </w:r>
    </w:p>
    <w:p w14:paraId="66D5CAA0" w14:textId="77777777" w:rsidR="001D68E8" w:rsidRPr="0079428E" w:rsidRDefault="001D68E8" w:rsidP="00371C5B">
      <w:pPr>
        <w:ind w:left="284"/>
        <w:outlineLvl w:val="0"/>
        <w:rPr>
          <w:rStyle w:val="Emphasis"/>
          <w:i w:val="0"/>
          <w:sz w:val="22"/>
          <w:szCs w:val="22"/>
          <w:lang w:val="en-GB"/>
        </w:rPr>
      </w:pPr>
    </w:p>
    <w:p w14:paraId="4C423EB7" w14:textId="5B640443" w:rsidR="00820CDB" w:rsidRDefault="00105ACD" w:rsidP="00105ACD">
      <w:pPr>
        <w:spacing w:after="360"/>
        <w:ind w:left="288"/>
        <w:contextualSpacing/>
        <w:outlineLvl w:val="0"/>
        <w:rPr>
          <w:rStyle w:val="Emphasis"/>
          <w:i w:val="0"/>
          <w:sz w:val="22"/>
          <w:szCs w:val="22"/>
          <w:lang w:val="en-GB"/>
        </w:rPr>
      </w:pPr>
      <w:r w:rsidRPr="00105ACD">
        <w:rPr>
          <w:rStyle w:val="Emphasis"/>
          <w:b/>
          <w:i w:val="0"/>
          <w:sz w:val="22"/>
          <w:szCs w:val="22"/>
          <w:lang w:val="en-GB"/>
        </w:rPr>
        <w:t>LOT no. 1</w:t>
      </w:r>
      <w:r>
        <w:rPr>
          <w:rStyle w:val="Emphasis"/>
          <w:i w:val="0"/>
          <w:sz w:val="22"/>
          <w:szCs w:val="22"/>
          <w:lang w:val="en-GB"/>
        </w:rPr>
        <w:t xml:space="preserve">- </w:t>
      </w:r>
      <w:r w:rsidRPr="00105ACD">
        <w:rPr>
          <w:rStyle w:val="Emphasis"/>
          <w:i w:val="0"/>
          <w:sz w:val="22"/>
          <w:szCs w:val="22"/>
          <w:lang w:val="en-GB"/>
        </w:rPr>
        <w:t>Equipment for analysis</w:t>
      </w:r>
    </w:p>
    <w:p w14:paraId="79E92C13" w14:textId="2EFE7EDE" w:rsidR="00105ACD" w:rsidRDefault="00105ACD" w:rsidP="00105ACD">
      <w:pPr>
        <w:spacing w:after="360"/>
        <w:ind w:left="288"/>
        <w:contextualSpacing/>
        <w:outlineLvl w:val="0"/>
        <w:rPr>
          <w:rStyle w:val="Emphasis"/>
          <w:i w:val="0"/>
          <w:sz w:val="22"/>
          <w:szCs w:val="22"/>
          <w:lang w:val="en-GB"/>
        </w:rPr>
      </w:pPr>
      <w:r w:rsidRPr="00105ACD">
        <w:rPr>
          <w:rStyle w:val="Emphasis"/>
          <w:b/>
          <w:i w:val="0"/>
          <w:sz w:val="22"/>
          <w:szCs w:val="22"/>
          <w:lang w:val="en-GB"/>
        </w:rPr>
        <w:t>LOT no. 2</w:t>
      </w:r>
      <w:r>
        <w:rPr>
          <w:rStyle w:val="Emphasis"/>
          <w:i w:val="0"/>
          <w:sz w:val="22"/>
          <w:szCs w:val="22"/>
          <w:lang w:val="en-GB"/>
        </w:rPr>
        <w:t xml:space="preserve">- </w:t>
      </w:r>
      <w:r w:rsidRPr="00105ACD">
        <w:rPr>
          <w:rStyle w:val="Emphasis"/>
          <w:i w:val="0"/>
          <w:sz w:val="22"/>
          <w:szCs w:val="22"/>
          <w:lang w:val="en-GB"/>
        </w:rPr>
        <w:t>Sample preparation equipment</w:t>
      </w:r>
    </w:p>
    <w:p w14:paraId="5C2638C1" w14:textId="62B157A0" w:rsidR="00105ACD" w:rsidRDefault="00105ACD" w:rsidP="00105ACD">
      <w:pPr>
        <w:spacing w:after="360"/>
        <w:ind w:left="288"/>
        <w:contextualSpacing/>
        <w:outlineLvl w:val="0"/>
        <w:rPr>
          <w:rStyle w:val="Emphasis"/>
          <w:i w:val="0"/>
          <w:sz w:val="22"/>
          <w:szCs w:val="22"/>
          <w:lang w:val="en-GB"/>
        </w:rPr>
      </w:pPr>
      <w:r w:rsidRPr="00105ACD">
        <w:rPr>
          <w:rStyle w:val="Emphasis"/>
          <w:b/>
          <w:i w:val="0"/>
          <w:sz w:val="22"/>
          <w:szCs w:val="22"/>
          <w:lang w:val="en-GB"/>
        </w:rPr>
        <w:t>LOT no. 3-</w:t>
      </w:r>
      <w:r>
        <w:rPr>
          <w:rStyle w:val="Emphasis"/>
          <w:i w:val="0"/>
          <w:sz w:val="22"/>
          <w:szCs w:val="22"/>
          <w:lang w:val="en-GB"/>
        </w:rPr>
        <w:t xml:space="preserve"> </w:t>
      </w:r>
      <w:r w:rsidRPr="00105ACD">
        <w:rPr>
          <w:rStyle w:val="Emphasis"/>
          <w:i w:val="0"/>
          <w:sz w:val="22"/>
          <w:szCs w:val="22"/>
          <w:lang w:val="en-GB"/>
        </w:rPr>
        <w:t>Sampling equipment and consumables</w:t>
      </w:r>
    </w:p>
    <w:p w14:paraId="6C843D95" w14:textId="1AE4F20A" w:rsidR="006F5FD0" w:rsidRPr="00B33EE6" w:rsidRDefault="000D50F1" w:rsidP="00105ACD">
      <w:pPr>
        <w:spacing w:after="360"/>
        <w:ind w:left="284"/>
        <w:outlineLvl w:val="0"/>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6234212B" w14:textId="1EC2D56D" w:rsidR="00B9793F" w:rsidRPr="00653788" w:rsidRDefault="00B9793F" w:rsidP="00371C5B">
      <w:pPr>
        <w:spacing w:after="0"/>
        <w:ind w:left="284"/>
        <w:jc w:val="both"/>
        <w:rPr>
          <w:iCs/>
          <w:sz w:val="22"/>
          <w:szCs w:val="22"/>
          <w:lang w:val="en-IE"/>
        </w:rPr>
      </w:pPr>
      <w:r w:rsidRPr="00653788">
        <w:rPr>
          <w:iCs/>
          <w:sz w:val="22"/>
          <w:szCs w:val="22"/>
          <w:lang w:val="en-IE"/>
        </w:rPr>
        <w:t>[For IPA III 2021/</w:t>
      </w:r>
      <w:r w:rsidR="009E5C83" w:rsidRPr="00653788">
        <w:rPr>
          <w:iCs/>
          <w:sz w:val="22"/>
          <w:szCs w:val="22"/>
          <w:lang w:val="en-IE"/>
        </w:rPr>
        <w:t>1529</w:t>
      </w:r>
      <w:r w:rsidR="000B14E4" w:rsidRPr="00653788">
        <w:rPr>
          <w:rStyle w:val="FootnoteReference"/>
          <w:iCs/>
          <w:sz w:val="22"/>
          <w:szCs w:val="22"/>
          <w:lang w:val="en-IE"/>
        </w:rPr>
        <w:footnoteReference w:id="1"/>
      </w:r>
      <w:r w:rsidRPr="00653788">
        <w:rPr>
          <w:iCs/>
          <w:sz w:val="22"/>
          <w:szCs w:val="22"/>
          <w:lang w:val="en-IE"/>
        </w:rPr>
        <w:t>:</w:t>
      </w:r>
    </w:p>
    <w:p w14:paraId="04E947DD" w14:textId="486EBDE0" w:rsidR="00B9793F" w:rsidRPr="00653788" w:rsidRDefault="00B9793F" w:rsidP="00371C5B">
      <w:pPr>
        <w:pStyle w:val="paragraph"/>
        <w:spacing w:before="0" w:beforeAutospacing="0" w:after="0" w:afterAutospacing="0"/>
        <w:ind w:left="284"/>
        <w:jc w:val="both"/>
        <w:textAlignment w:val="baseline"/>
        <w:rPr>
          <w:rFonts w:ascii="Segoe UI" w:hAnsi="Segoe UI" w:cs="Segoe UI"/>
          <w:sz w:val="22"/>
          <w:szCs w:val="22"/>
          <w:lang w:val="en-GB"/>
        </w:rPr>
      </w:pPr>
      <w:r w:rsidRPr="00653788">
        <w:rPr>
          <w:iCs/>
          <w:sz w:val="22"/>
          <w:szCs w:val="22"/>
          <w:lang w:val="en-IE"/>
        </w:rPr>
        <w:t>The legal basis of this procedure is Regulation (EU) No </w:t>
      </w:r>
      <w:r w:rsidR="00A609E7" w:rsidRPr="00653788">
        <w:rPr>
          <w:iCs/>
          <w:sz w:val="22"/>
          <w:szCs w:val="22"/>
          <w:lang w:val="en-IE"/>
        </w:rPr>
        <w:t>2021/</w:t>
      </w:r>
      <w:r w:rsidR="009E5C83" w:rsidRPr="00653788">
        <w:rPr>
          <w:iCs/>
          <w:sz w:val="22"/>
          <w:szCs w:val="22"/>
          <w:lang w:val="en-IE"/>
        </w:rPr>
        <w:t>1529</w:t>
      </w:r>
      <w:r w:rsidRPr="00653788">
        <w:rPr>
          <w:iCs/>
          <w:sz w:val="22"/>
          <w:szCs w:val="22"/>
          <w:lang w:val="en-IE"/>
        </w:rPr>
        <w:t xml:space="preserve"> establishing the Instrument for Pre-accession Assistance (IPA III). </w:t>
      </w:r>
    </w:p>
    <w:p w14:paraId="57544065" w14:textId="04EE59F5" w:rsidR="00B9793F" w:rsidRPr="00653788" w:rsidRDefault="00B9793F" w:rsidP="00371C5B">
      <w:pPr>
        <w:pStyle w:val="paragraph"/>
        <w:spacing w:before="0" w:beforeAutospacing="0" w:after="120" w:afterAutospacing="0"/>
        <w:ind w:left="284"/>
        <w:jc w:val="both"/>
        <w:textAlignment w:val="baseline"/>
        <w:rPr>
          <w:iCs/>
          <w:sz w:val="22"/>
          <w:szCs w:val="22"/>
          <w:lang w:val="en-IE"/>
        </w:rPr>
      </w:pPr>
      <w:r w:rsidRPr="0065378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w:t>
      </w:r>
      <w:r w:rsidR="00653788" w:rsidRPr="00653788">
        <w:rPr>
          <w:iCs/>
          <w:sz w:val="22"/>
          <w:szCs w:val="22"/>
          <w:lang w:val="en-IE"/>
        </w:rPr>
        <w:t> Member</w:t>
      </w:r>
      <w:r w:rsidRPr="00653788">
        <w:rPr>
          <w:iCs/>
          <w:sz w:val="22"/>
          <w:szCs w:val="22"/>
          <w:lang w:val="en-IE"/>
        </w:rPr>
        <w:t xml:space="preserve"> State of the European Union or in an eligible country or territory as defined under Article 1</w:t>
      </w:r>
      <w:r w:rsidR="009E5C83" w:rsidRPr="00653788">
        <w:rPr>
          <w:iCs/>
          <w:sz w:val="22"/>
          <w:szCs w:val="22"/>
          <w:lang w:val="en-IE"/>
        </w:rPr>
        <w:t>1</w:t>
      </w:r>
      <w:r w:rsidRPr="00653788">
        <w:rPr>
          <w:iCs/>
          <w:sz w:val="22"/>
          <w:szCs w:val="22"/>
          <w:lang w:val="en-IE"/>
        </w:rPr>
        <w:t xml:space="preserve"> of Regulation (EU) No </w:t>
      </w:r>
      <w:bookmarkStart w:id="2" w:name="_Hlk169257528"/>
      <w:r w:rsidR="00A609E7" w:rsidRPr="00653788">
        <w:rPr>
          <w:iCs/>
          <w:sz w:val="22"/>
          <w:szCs w:val="22"/>
          <w:lang w:val="en-IE"/>
        </w:rPr>
        <w:t>2021/</w:t>
      </w:r>
      <w:r w:rsidR="009E5C83" w:rsidRPr="00653788">
        <w:rPr>
          <w:iCs/>
          <w:sz w:val="22"/>
          <w:szCs w:val="22"/>
          <w:lang w:val="en-IE"/>
        </w:rPr>
        <w:t>1529</w:t>
      </w:r>
      <w:bookmarkEnd w:id="2"/>
      <w:r w:rsidR="00653788" w:rsidRPr="00653788">
        <w:rPr>
          <w:iCs/>
          <w:sz w:val="22"/>
          <w:szCs w:val="22"/>
          <w:lang w:val="en-IE"/>
        </w:rPr>
        <w:t> establishing</w:t>
      </w:r>
      <w:r w:rsidRPr="00653788">
        <w:rPr>
          <w:iCs/>
          <w:sz w:val="22"/>
          <w:szCs w:val="22"/>
          <w:lang w:val="en-IE"/>
        </w:rPr>
        <w:t xml:space="preserve"> the Instrument for Pre-accession Assistance (IPA III). </w:t>
      </w:r>
    </w:p>
    <w:p w14:paraId="2AD533C5" w14:textId="77777777" w:rsidR="00F36AE6" w:rsidRPr="00653788" w:rsidRDefault="0092504E" w:rsidP="00371C5B">
      <w:pPr>
        <w:pStyle w:val="paragraph"/>
        <w:spacing w:before="0" w:beforeAutospacing="0" w:after="120" w:afterAutospacing="0"/>
        <w:ind w:left="284"/>
        <w:jc w:val="both"/>
        <w:textAlignment w:val="baseline"/>
        <w:rPr>
          <w:iCs/>
          <w:sz w:val="22"/>
          <w:szCs w:val="22"/>
          <w:lang w:val="en-IE"/>
        </w:rPr>
      </w:pPr>
      <w:r w:rsidRPr="00653788">
        <w:rPr>
          <w:iCs/>
          <w:sz w:val="22"/>
          <w:szCs w:val="22"/>
          <w:lang w:val="en-IE"/>
        </w:rPr>
        <w:t>Participation is also open to international and regional organisations.</w:t>
      </w:r>
    </w:p>
    <w:p w14:paraId="0FBCD630" w14:textId="2CAAD265" w:rsidR="0092504E" w:rsidRDefault="00F36AE6" w:rsidP="002E4D07">
      <w:pPr>
        <w:pStyle w:val="paragraph"/>
        <w:spacing w:before="0" w:beforeAutospacing="0" w:after="120" w:afterAutospacing="0"/>
        <w:ind w:left="284"/>
        <w:jc w:val="both"/>
        <w:textAlignment w:val="baseline"/>
        <w:rPr>
          <w:iCs/>
          <w:sz w:val="22"/>
          <w:szCs w:val="22"/>
          <w:lang w:val="en-IE"/>
        </w:rPr>
      </w:pPr>
      <w:r w:rsidRPr="002E4D07">
        <w:rPr>
          <w:iCs/>
          <w:sz w:val="22"/>
          <w:szCs w:val="22"/>
          <w:lang w:val="en-IE"/>
        </w:rPr>
        <w:t>All supplies under this contract may originate in any country</w:t>
      </w:r>
      <w:r w:rsidR="00653788" w:rsidRPr="002E4D07">
        <w:rPr>
          <w:iCs/>
          <w:sz w:val="22"/>
          <w:szCs w:val="22"/>
          <w:lang w:val="en-IE"/>
        </w:rPr>
        <w:t>.</w:t>
      </w:r>
    </w:p>
    <w:p w14:paraId="63522FC5" w14:textId="79686E64" w:rsidR="006F5FD0" w:rsidRPr="00371C5B" w:rsidRDefault="006F5FD0" w:rsidP="00371C5B">
      <w:pPr>
        <w:keepNext/>
        <w:widowControl/>
        <w:spacing w:before="240" w:after="120"/>
        <w:ind w:left="426" w:hanging="426"/>
        <w:outlineLvl w:val="0"/>
        <w:rPr>
          <w:rStyle w:val="Strong"/>
        </w:rPr>
      </w:pPr>
      <w:bookmarkStart w:id="3" w:name="_DV_M201"/>
      <w:bookmarkStart w:id="4" w:name="_DV_M224"/>
      <w:bookmarkStart w:id="5" w:name="_DV_M225"/>
      <w:bookmarkStart w:id="6" w:name="_DV_M226"/>
      <w:bookmarkStart w:id="7" w:name="_DV_M227"/>
      <w:bookmarkStart w:id="8" w:name="_DV_M229"/>
      <w:bookmarkStart w:id="9" w:name="_DV_M231"/>
      <w:bookmarkStart w:id="10" w:name="_DV_M232"/>
      <w:bookmarkStart w:id="11" w:name="_DV_M233"/>
      <w:bookmarkStart w:id="12" w:name="_DV_M234"/>
      <w:bookmarkStart w:id="13" w:name="_DV_M235"/>
      <w:bookmarkStart w:id="14" w:name="_DV_M236"/>
      <w:bookmarkStart w:id="15" w:name="_DV_M237"/>
      <w:bookmarkStart w:id="16" w:name="_DV_M238"/>
      <w:bookmarkEnd w:id="3"/>
      <w:bookmarkEnd w:id="4"/>
      <w:bookmarkEnd w:id="5"/>
      <w:bookmarkEnd w:id="6"/>
      <w:bookmarkEnd w:id="7"/>
      <w:bookmarkEnd w:id="8"/>
      <w:bookmarkEnd w:id="9"/>
      <w:bookmarkEnd w:id="10"/>
      <w:bookmarkEnd w:id="11"/>
      <w:bookmarkEnd w:id="12"/>
      <w:bookmarkEnd w:id="13"/>
      <w:bookmarkEnd w:id="14"/>
      <w:bookmarkEnd w:id="15"/>
      <w:bookmarkEnd w:id="16"/>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1A593A03" w:rsidR="00E1782A" w:rsidRDefault="004E1482" w:rsidP="00371C5B">
      <w:pPr>
        <w:pStyle w:val="Blockquote"/>
        <w:spacing w:before="0" w:after="120"/>
        <w:ind w:left="425" w:right="0"/>
        <w:jc w:val="both"/>
        <w:rPr>
          <w:sz w:val="22"/>
          <w:szCs w:val="22"/>
          <w:lang w:val="en-GB"/>
        </w:rPr>
      </w:pPr>
      <w:r w:rsidRPr="006E58D6">
        <w:rPr>
          <w:sz w:val="22"/>
          <w:szCs w:val="22"/>
          <w:lang w:val="en-GB"/>
        </w:rPr>
        <w:t xml:space="preserve">The </w:t>
      </w:r>
      <w:r w:rsidR="00632BDC" w:rsidRPr="006E58D6">
        <w:rPr>
          <w:sz w:val="22"/>
          <w:szCs w:val="22"/>
          <w:lang w:val="en-GB"/>
        </w:rPr>
        <w:t>tenderer</w:t>
      </w:r>
      <w:r w:rsidRPr="006E58D6">
        <w:rPr>
          <w:sz w:val="22"/>
          <w:szCs w:val="22"/>
          <w:lang w:val="en-GB"/>
        </w:rPr>
        <w:t xml:space="preserve"> may submit a </w:t>
      </w:r>
      <w:r w:rsidR="00632BDC" w:rsidRPr="006E58D6">
        <w:rPr>
          <w:sz w:val="22"/>
          <w:szCs w:val="22"/>
          <w:lang w:val="en-GB"/>
        </w:rPr>
        <w:t>tender</w:t>
      </w:r>
      <w:r w:rsidRPr="006E58D6">
        <w:rPr>
          <w:sz w:val="22"/>
          <w:szCs w:val="22"/>
          <w:lang w:val="en-GB"/>
        </w:rPr>
        <w:t xml:space="preserve"> for </w:t>
      </w:r>
      <w:r w:rsidR="006E58D6" w:rsidRPr="006E58D6">
        <w:rPr>
          <w:sz w:val="22"/>
          <w:szCs w:val="22"/>
          <w:lang w:val="en-GB"/>
        </w:rPr>
        <w:t>maximum two LOTs,</w:t>
      </w:r>
      <w:r w:rsidRPr="006E58D6">
        <w:rPr>
          <w:sz w:val="22"/>
          <w:szCs w:val="22"/>
          <w:lang w:val="en-GB"/>
        </w:rPr>
        <w:t xml:space="preserve"> but only one </w:t>
      </w:r>
      <w:r w:rsidR="00632BDC" w:rsidRPr="006E58D6">
        <w:rPr>
          <w:sz w:val="22"/>
          <w:szCs w:val="22"/>
          <w:lang w:val="en-GB"/>
        </w:rPr>
        <w:t>tender</w:t>
      </w:r>
      <w:r w:rsidRPr="006E58D6">
        <w:rPr>
          <w:sz w:val="22"/>
          <w:szCs w:val="22"/>
          <w:lang w:val="en-GB"/>
        </w:rPr>
        <w:t xml:space="preserve"> per lot. Contracts will be awarded lot by lot and each lot will form a separate contract.</w:t>
      </w:r>
      <w:r w:rsidR="00172785" w:rsidRPr="006E58D6">
        <w:rPr>
          <w:sz w:val="22"/>
          <w:szCs w:val="22"/>
          <w:lang w:val="en-GB"/>
        </w:rPr>
        <w:t xml:space="preserve"> If the tenderer is awarded more than one lot, a single contract may be concluded covering all those lots.</w:t>
      </w:r>
    </w:p>
    <w:p w14:paraId="6CBC2AF9" w14:textId="77777777" w:rsidR="001A66C2" w:rsidRPr="003319C5" w:rsidRDefault="001A66C2" w:rsidP="00371C5B">
      <w:pPr>
        <w:pStyle w:val="Blockquote"/>
        <w:spacing w:before="0" w:after="120"/>
        <w:ind w:left="425" w:right="0"/>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4DEED4D5"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w:t>
      </w:r>
      <w:r w:rsidR="00FE5497" w:rsidRPr="00E128DF">
        <w:rPr>
          <w:sz w:val="22"/>
          <w:szCs w:val="22"/>
          <w:lang w:val="en-GB"/>
        </w:rPr>
        <w:t>entity (</w:t>
      </w:r>
      <w:r w:rsidR="00E128DF" w:rsidRPr="00E128DF">
        <w:rPr>
          <w:sz w:val="22"/>
          <w:szCs w:val="22"/>
          <w:lang w:val="en-GB"/>
        </w:rPr>
        <w:t>ies).</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2"/>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391D26F8" w:rsidR="00E9047D" w:rsidRDefault="000D50F1" w:rsidP="00371C5B">
      <w:pPr>
        <w:pStyle w:val="Blockquote"/>
        <w:spacing w:before="0" w:after="480"/>
        <w:ind w:left="425" w:right="0"/>
        <w:jc w:val="both"/>
        <w:rPr>
          <w:rStyle w:val="Emphasis"/>
          <w:i w:val="0"/>
          <w:sz w:val="22"/>
          <w:szCs w:val="22"/>
          <w:lang w:val="en-GB"/>
        </w:rPr>
      </w:pPr>
      <w:r>
        <w:rPr>
          <w:snapToGrid/>
          <w:sz w:val="22"/>
          <w:szCs w:val="22"/>
          <w:lang w:val="en-GB"/>
        </w:rPr>
        <w:pict w14:anchorId="11F7E59B">
          <v:line id="_x0000_s1029" style="position:absolute;left:0;text-align:left;z-index:3" from="1.5pt,35.35pt" to="469.5pt,35.4pt" o:allowincell="f" strokecolor="#d4d4d4" strokeweight="1.75pt">
            <v:shadow on="t" origin=",32385f" offset="0,-1pt"/>
          </v:line>
        </w:pic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lastRenderedPageBreak/>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184F746C" w14:textId="6CC3B410" w:rsidR="00B875B0" w:rsidRDefault="00B875B0" w:rsidP="00371C5B">
      <w:pPr>
        <w:keepNext/>
        <w:widowControl/>
        <w:spacing w:before="240" w:after="120"/>
        <w:ind w:left="426" w:hanging="426"/>
        <w:outlineLvl w:val="0"/>
        <w:rPr>
          <w:sz w:val="22"/>
          <w:lang w:val="en-GB"/>
        </w:rPr>
      </w:pPr>
      <w:r>
        <w:rPr>
          <w:sz w:val="22"/>
          <w:lang w:val="en-GB"/>
        </w:rPr>
        <w:t xml:space="preserve">     </w:t>
      </w:r>
      <w:r w:rsidRPr="002E4D07">
        <w:rPr>
          <w:sz w:val="22"/>
          <w:lang w:val="en-GB"/>
        </w:rPr>
        <w:t>The date of signature of both contract parties (applicable for all lots)</w:t>
      </w:r>
    </w:p>
    <w:p w14:paraId="70B1A4AA" w14:textId="3B32122D" w:rsidR="006F5FD0" w:rsidRPr="00371C5B" w:rsidRDefault="005639EC"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258032A" w:rsidR="006F5FD0" w:rsidRDefault="002E4D07" w:rsidP="00371C5B">
      <w:pPr>
        <w:pStyle w:val="Blockquote"/>
        <w:spacing w:before="0" w:after="120"/>
        <w:ind w:left="357" w:right="0"/>
        <w:jc w:val="both"/>
        <w:rPr>
          <w:rStyle w:val="Emphasis"/>
          <w:i w:val="0"/>
          <w:sz w:val="22"/>
          <w:szCs w:val="22"/>
          <w:lang w:val="en-GB"/>
        </w:rPr>
      </w:pPr>
      <w:r>
        <w:rPr>
          <w:rStyle w:val="Emphasis"/>
          <w:i w:val="0"/>
          <w:sz w:val="22"/>
          <w:szCs w:val="22"/>
          <w:lang w:val="en-GB"/>
        </w:rPr>
        <w:t>LOT no 1: 9 months</w:t>
      </w:r>
    </w:p>
    <w:p w14:paraId="357E57BF" w14:textId="1151B787" w:rsidR="002E4D07" w:rsidRDefault="002E4D07" w:rsidP="00371C5B">
      <w:pPr>
        <w:pStyle w:val="Blockquote"/>
        <w:spacing w:before="0" w:after="120"/>
        <w:ind w:left="357" w:right="0"/>
        <w:jc w:val="both"/>
        <w:rPr>
          <w:sz w:val="22"/>
          <w:szCs w:val="22"/>
          <w:lang w:val="en-GB"/>
        </w:rPr>
      </w:pPr>
      <w:r w:rsidRPr="002E4D07">
        <w:rPr>
          <w:sz w:val="22"/>
          <w:szCs w:val="22"/>
          <w:lang w:val="en-GB"/>
        </w:rPr>
        <w:t xml:space="preserve">LOT no 2: </w:t>
      </w:r>
      <w:r>
        <w:rPr>
          <w:sz w:val="22"/>
          <w:szCs w:val="22"/>
          <w:lang w:val="en-GB"/>
        </w:rPr>
        <w:t>7 months</w:t>
      </w:r>
    </w:p>
    <w:p w14:paraId="06FA6C5F" w14:textId="1CBEFC23" w:rsidR="002E4D07" w:rsidRPr="002E4D07" w:rsidRDefault="002E4D07" w:rsidP="00371C5B">
      <w:pPr>
        <w:pStyle w:val="Blockquote"/>
        <w:spacing w:before="0" w:after="120"/>
        <w:ind w:left="357" w:right="0"/>
        <w:jc w:val="both"/>
        <w:rPr>
          <w:sz w:val="22"/>
          <w:szCs w:val="22"/>
          <w:lang w:val="en-GB"/>
        </w:rPr>
      </w:pPr>
      <w:r>
        <w:rPr>
          <w:sz w:val="22"/>
          <w:szCs w:val="22"/>
          <w:lang w:val="en-GB"/>
        </w:rPr>
        <w:t>LOT no 3: 3 months</w:t>
      </w:r>
    </w:p>
    <w:p w14:paraId="29CC7DD8" w14:textId="77777777" w:rsidR="006F5FD0" w:rsidRPr="00B33EE6" w:rsidRDefault="000D50F1" w:rsidP="00347E84">
      <w:pPr>
        <w:rPr>
          <w:sz w:val="22"/>
          <w:szCs w:val="22"/>
          <w:lang w:val="en-GB"/>
        </w:rPr>
      </w:pPr>
      <w:r>
        <w:rPr>
          <w:snapToGrid/>
          <w:sz w:val="22"/>
          <w:szCs w:val="22"/>
          <w:lang w:val="en-GB"/>
        </w:rPr>
        <w:pict w14:anchorId="6E3015B7">
          <v:line id="_x0000_s1030" style="position:absolute;z-index:4" from="0,18.75pt" to="468pt,18.8pt" o:allowincell="f" strokecolor="#d4d4d4" strokeweight="1.75pt">
            <v:shadow on="t" origin=",32385f" offset="0,-1pt"/>
          </v:line>
        </w:pict>
      </w:r>
    </w:p>
    <w:p w14:paraId="25048343" w14:textId="45B1AE73"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Capacity-providing entities</w:t>
      </w:r>
    </w:p>
    <w:p w14:paraId="1677E155"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4C28A4F"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tasks for which these capacities are required. </w:t>
      </w:r>
    </w:p>
    <w:p w14:paraId="2C410C11" w14:textId="03C063D0" w:rsidR="00831982" w:rsidRPr="00B33EE6" w:rsidRDefault="00831982" w:rsidP="00371C5B">
      <w:pPr>
        <w:widowControl/>
        <w:spacing w:before="0" w:after="120"/>
        <w:ind w:left="425"/>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1E5DF26" w14:textId="1708972B" w:rsidR="00287536" w:rsidRPr="00663C8C" w:rsidRDefault="00287536" w:rsidP="00371C5B">
      <w:pPr>
        <w:pStyle w:val="Blockquote"/>
        <w:ind w:left="425" w:right="0"/>
        <w:jc w:val="both"/>
        <w:rPr>
          <w:b/>
          <w:color w:val="FF0000"/>
          <w:sz w:val="22"/>
          <w:szCs w:val="22"/>
        </w:rPr>
      </w:pPr>
      <w:r w:rsidRPr="00663C8C">
        <w:rPr>
          <w:b/>
          <w:color w:val="FF0000"/>
          <w:sz w:val="22"/>
          <w:szCs w:val="22"/>
        </w:rPr>
        <w:t xml:space="preserve">Lot n° </w:t>
      </w:r>
      <w:r w:rsidR="006E58D6" w:rsidRPr="00663C8C">
        <w:rPr>
          <w:b/>
          <w:color w:val="FF0000"/>
          <w:sz w:val="22"/>
          <w:szCs w:val="22"/>
        </w:rPr>
        <w:t>1- Equipment for analysis</w:t>
      </w:r>
    </w:p>
    <w:p w14:paraId="7E6C5EE8" w14:textId="621C51ED" w:rsidR="00287536" w:rsidRPr="00371C5B" w:rsidRDefault="00287536" w:rsidP="00371C5B">
      <w:pPr>
        <w:pStyle w:val="Blockquote"/>
        <w:ind w:left="425" w:right="0"/>
        <w:jc w:val="both"/>
        <w:rPr>
          <w:sz w:val="22"/>
          <w:szCs w:val="22"/>
        </w:rPr>
      </w:pPr>
      <w:r w:rsidRPr="006E58D6">
        <w:rPr>
          <w:sz w:val="22"/>
          <w:szCs w:val="22"/>
        </w:rPr>
        <w:t xml:space="preserve">The selection criteria for tenderers to Lot n° </w:t>
      </w:r>
      <w:r w:rsidR="006E58D6" w:rsidRPr="006E58D6">
        <w:rPr>
          <w:sz w:val="22"/>
          <w:szCs w:val="22"/>
        </w:rPr>
        <w:t xml:space="preserve">1 </w:t>
      </w:r>
      <w:r w:rsidRPr="006E58D6">
        <w:rPr>
          <w:sz w:val="22"/>
          <w:szCs w:val="22"/>
        </w:rPr>
        <w:t>are as follows:</w:t>
      </w:r>
    </w:p>
    <w:p w14:paraId="0D232312" w14:textId="2241EAB1" w:rsidR="00BC1369" w:rsidRPr="00475A03" w:rsidRDefault="006F5FD0" w:rsidP="00475A03">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years for which accounts have been closed.</w:t>
      </w:r>
    </w:p>
    <w:p w14:paraId="7256896E" w14:textId="3502BD1C" w:rsidR="00074C11" w:rsidRPr="00074C11" w:rsidRDefault="00074C11" w:rsidP="00074C11">
      <w:pPr>
        <w:pStyle w:val="Blockquote"/>
        <w:tabs>
          <w:tab w:val="left" w:pos="284"/>
        </w:tabs>
        <w:ind w:right="1"/>
        <w:jc w:val="both"/>
        <w:rPr>
          <w:sz w:val="22"/>
          <w:szCs w:val="22"/>
          <w:lang w:val="es-ES"/>
        </w:rPr>
      </w:pPr>
      <w:r w:rsidRPr="00C534C6">
        <w:rPr>
          <w:sz w:val="22"/>
          <w:szCs w:val="22"/>
          <w:lang w:val="es-ES"/>
        </w:rPr>
        <w:lastRenderedPageBreak/>
        <w:t xml:space="preserve">Criteria for legal persons: </w:t>
      </w:r>
    </w:p>
    <w:p w14:paraId="345138CB" w14:textId="4E7E6D77" w:rsidR="00257327" w:rsidRPr="00257327" w:rsidRDefault="00257327" w:rsidP="00257327">
      <w:pPr>
        <w:pStyle w:val="Blockquote"/>
        <w:tabs>
          <w:tab w:val="left" w:pos="851"/>
        </w:tabs>
        <w:ind w:left="494"/>
        <w:jc w:val="both"/>
        <w:rPr>
          <w:sz w:val="22"/>
          <w:szCs w:val="22"/>
          <w:lang w:val="en-GB"/>
        </w:rPr>
      </w:pPr>
      <w:r w:rsidRPr="00257327">
        <w:rPr>
          <w:sz w:val="22"/>
          <w:szCs w:val="22"/>
          <w:lang w:val="en-GB"/>
        </w:rPr>
        <w:t>-</w:t>
      </w:r>
      <w:r w:rsidRPr="00257327">
        <w:rPr>
          <w:sz w:val="22"/>
          <w:szCs w:val="22"/>
          <w:lang w:val="en-GB"/>
        </w:rPr>
        <w:tab/>
      </w:r>
      <w:r>
        <w:rPr>
          <w:sz w:val="22"/>
          <w:szCs w:val="22"/>
          <w:lang w:val="en-GB"/>
        </w:rPr>
        <w:t>T</w:t>
      </w:r>
      <w:r w:rsidRPr="00257327">
        <w:rPr>
          <w:sz w:val="22"/>
          <w:szCs w:val="22"/>
          <w:lang w:val="en-GB"/>
        </w:rPr>
        <w:t>he average annual turnover of the tenderer must exceed the annualised maximum budget of the tenderer’s offer i.e. the maximum budget stated in the offer, divided by the initial contract duration in years, where this exceeds 1 year</w:t>
      </w:r>
      <w:r>
        <w:rPr>
          <w:sz w:val="22"/>
          <w:szCs w:val="22"/>
          <w:lang w:val="en-GB"/>
        </w:rPr>
        <w:t>;</w:t>
      </w:r>
    </w:p>
    <w:p w14:paraId="19E390A3" w14:textId="2AFC8ED3" w:rsidR="00257327" w:rsidRDefault="00257327" w:rsidP="00257327">
      <w:pPr>
        <w:pStyle w:val="Blockquote"/>
        <w:tabs>
          <w:tab w:val="left" w:pos="851"/>
        </w:tabs>
        <w:ind w:left="494" w:right="0"/>
        <w:jc w:val="both"/>
        <w:rPr>
          <w:sz w:val="22"/>
          <w:szCs w:val="22"/>
          <w:lang w:val="en-GB"/>
        </w:rPr>
      </w:pPr>
      <w:r w:rsidRPr="00257327">
        <w:rPr>
          <w:sz w:val="22"/>
          <w:szCs w:val="22"/>
          <w:lang w:val="en-GB"/>
        </w:rPr>
        <w:t>-</w:t>
      </w:r>
      <w:r w:rsidRPr="00257327">
        <w:rPr>
          <w:sz w:val="22"/>
          <w:szCs w:val="22"/>
          <w:lang w:val="en-GB"/>
        </w:rPr>
        <w:tab/>
        <w:t>Current ratio (current assets/current liabilities) in the last year for which accounts have been closed must be at least 1. In case of a consortium this criterion must be fulfilled by each member.</w:t>
      </w:r>
    </w:p>
    <w:p w14:paraId="5D762B00" w14:textId="18164060" w:rsidR="006F5FD0" w:rsidRPr="00B33EE6" w:rsidRDefault="00571687" w:rsidP="00371C5B">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w:t>
      </w:r>
      <w:r w:rsidR="00287536">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3A08AF5D" w14:textId="4D63EA5F" w:rsidR="00074C11" w:rsidRPr="00BC1369" w:rsidRDefault="00BE08EC" w:rsidP="00BC1369">
      <w:pPr>
        <w:pStyle w:val="Blockquote"/>
        <w:ind w:left="43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w:t>
      </w:r>
      <w:r w:rsidR="00862885" w:rsidRPr="00371C5B">
        <w:rPr>
          <w:b/>
          <w:bCs/>
          <w:sz w:val="22"/>
          <w:szCs w:val="22"/>
          <w:lang w:val="en-GB"/>
        </w:rPr>
        <w:t xml:space="preserve"> years </w:t>
      </w:r>
      <w:r w:rsidR="00771F97" w:rsidRPr="00371C5B">
        <w:rPr>
          <w:b/>
          <w:bCs/>
          <w:sz w:val="22"/>
          <w:szCs w:val="22"/>
          <w:lang w:val="en-GB"/>
        </w:rPr>
        <w:t>preceding the</w:t>
      </w:r>
      <w:r w:rsidRPr="00371C5B">
        <w:rPr>
          <w:b/>
          <w:bCs/>
          <w:sz w:val="22"/>
          <w:szCs w:val="22"/>
          <w:lang w:val="en-GB"/>
        </w:rPr>
        <w:t xml:space="preserve"> submission deadline.</w:t>
      </w:r>
    </w:p>
    <w:p w14:paraId="6861D126" w14:textId="7A3C4C49" w:rsidR="00257327" w:rsidRPr="00074C11" w:rsidRDefault="00074C11" w:rsidP="00074C11">
      <w:pPr>
        <w:pStyle w:val="Blockquote"/>
        <w:tabs>
          <w:tab w:val="left" w:pos="284"/>
        </w:tabs>
        <w:ind w:right="1"/>
        <w:jc w:val="both"/>
        <w:rPr>
          <w:sz w:val="22"/>
          <w:szCs w:val="22"/>
          <w:lang w:val="es-ES"/>
        </w:rPr>
      </w:pPr>
      <w:r w:rsidRPr="00C534C6">
        <w:rPr>
          <w:sz w:val="22"/>
          <w:szCs w:val="22"/>
          <w:lang w:val="es-ES"/>
        </w:rPr>
        <w:t xml:space="preserve">Criteria for legal persons: </w:t>
      </w:r>
    </w:p>
    <w:p w14:paraId="4EFF8832" w14:textId="2B3E0F46" w:rsidR="00257327" w:rsidRDefault="00257327" w:rsidP="00371C5B">
      <w:pPr>
        <w:pStyle w:val="Blockquote"/>
        <w:ind w:left="431" w:right="0" w:hanging="6"/>
        <w:jc w:val="both"/>
        <w:rPr>
          <w:bCs/>
          <w:sz w:val="22"/>
          <w:szCs w:val="22"/>
          <w:lang w:val="en-GB"/>
        </w:rPr>
      </w:pPr>
      <w:r w:rsidRPr="00257327">
        <w:rPr>
          <w:b/>
          <w:bCs/>
          <w:sz w:val="22"/>
          <w:szCs w:val="22"/>
          <w:lang w:val="en-GB"/>
        </w:rPr>
        <w:t>-</w:t>
      </w:r>
      <w:r w:rsidRPr="00257327">
        <w:rPr>
          <w:b/>
          <w:bCs/>
          <w:sz w:val="22"/>
          <w:szCs w:val="22"/>
          <w:lang w:val="en-GB"/>
        </w:rPr>
        <w:tab/>
      </w:r>
      <w:r w:rsidRPr="00257327">
        <w:rPr>
          <w:bCs/>
          <w:sz w:val="22"/>
          <w:szCs w:val="22"/>
          <w:lang w:val="en-GB"/>
        </w:rPr>
        <w:t>The tenderer is sertificated for following standards: ISO 9001 - quality management system and ISO 14001- enviromental management system.</w:t>
      </w:r>
    </w:p>
    <w:p w14:paraId="2B1099A8" w14:textId="58593860" w:rsidR="00332792" w:rsidRPr="00332792" w:rsidRDefault="00257327" w:rsidP="00332792">
      <w:pPr>
        <w:pStyle w:val="Blockquote"/>
        <w:ind w:left="431" w:right="0" w:hanging="6"/>
        <w:jc w:val="both"/>
        <w:rPr>
          <w:b/>
          <w:bCs/>
          <w:sz w:val="22"/>
          <w:szCs w:val="22"/>
          <w:lang w:val="en-GB"/>
        </w:rPr>
      </w:pPr>
      <w:r w:rsidRPr="00332792">
        <w:rPr>
          <w:b/>
          <w:bCs/>
          <w:sz w:val="22"/>
          <w:szCs w:val="22"/>
          <w:lang w:val="en-GB"/>
        </w:rPr>
        <w:t xml:space="preserve"> </w:t>
      </w:r>
      <w:r w:rsidR="00332792">
        <w:rPr>
          <w:b/>
          <w:bCs/>
          <w:sz w:val="22"/>
          <w:szCs w:val="22"/>
          <w:lang w:val="en-GB"/>
        </w:rPr>
        <w:t xml:space="preserve">- </w:t>
      </w:r>
      <w:r w:rsidR="00332792" w:rsidRPr="00332792">
        <w:rPr>
          <w:bCs/>
          <w:sz w:val="22"/>
          <w:szCs w:val="22"/>
          <w:lang w:val="en-GB"/>
        </w:rPr>
        <w:t>The tenderer must have at least two employed/engaged authorized service technicians, with certificates for servicing the equipment that is the subject of the Contract</w:t>
      </w:r>
      <w:r w:rsidR="00663C8C">
        <w:rPr>
          <w:bCs/>
          <w:sz w:val="22"/>
          <w:szCs w:val="22"/>
          <w:lang w:val="en-GB"/>
        </w:rPr>
        <w:t>.</w:t>
      </w:r>
    </w:p>
    <w:p w14:paraId="05E75179" w14:textId="764793FD" w:rsidR="00BE08EC" w:rsidRDefault="00571687" w:rsidP="00371C5B">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The reference period which will be taken into account will be t</w:t>
      </w:r>
      <w:r w:rsidR="00BE08EC" w:rsidRPr="00332792">
        <w:rPr>
          <w:sz w:val="22"/>
          <w:szCs w:val="22"/>
          <w:lang w:val="en-GB"/>
        </w:rPr>
        <w:t>he last three</w:t>
      </w:r>
      <w:r w:rsidR="00862885" w:rsidRPr="00332792">
        <w:rPr>
          <w:sz w:val="22"/>
          <w:szCs w:val="22"/>
          <w:lang w:val="en-GB"/>
        </w:rPr>
        <w:t xml:space="preserve"> years </w:t>
      </w:r>
      <w:r w:rsidR="00771F97" w:rsidRPr="00332792">
        <w:rPr>
          <w:sz w:val="22"/>
          <w:szCs w:val="22"/>
          <w:lang w:val="en-GB"/>
        </w:rPr>
        <w:t>preceding the</w:t>
      </w:r>
      <w:r w:rsidR="00BE08EC" w:rsidRPr="00332792">
        <w:rPr>
          <w:sz w:val="22"/>
          <w:szCs w:val="22"/>
          <w:lang w:val="en-GB"/>
        </w:rPr>
        <w:t xml:space="preserve"> submission deadline.</w:t>
      </w:r>
    </w:p>
    <w:p w14:paraId="33053A56" w14:textId="3734A56B" w:rsidR="00074C11" w:rsidRPr="00074C11" w:rsidRDefault="00074C11" w:rsidP="00074C11">
      <w:pPr>
        <w:pStyle w:val="Blockquote"/>
        <w:tabs>
          <w:tab w:val="left" w:pos="284"/>
        </w:tabs>
        <w:ind w:right="1"/>
        <w:jc w:val="both"/>
        <w:rPr>
          <w:sz w:val="22"/>
          <w:szCs w:val="22"/>
          <w:lang w:val="es-ES"/>
        </w:rPr>
      </w:pPr>
      <w:r w:rsidRPr="00C534C6">
        <w:rPr>
          <w:sz w:val="22"/>
          <w:szCs w:val="22"/>
          <w:lang w:val="es-ES"/>
        </w:rPr>
        <w:t xml:space="preserve">Criteria for legal persons: </w:t>
      </w:r>
    </w:p>
    <w:p w14:paraId="15F7A7DD" w14:textId="2E9C79A5" w:rsidR="00332792" w:rsidRDefault="00332792" w:rsidP="00332792">
      <w:pPr>
        <w:pStyle w:val="Blockquote"/>
        <w:tabs>
          <w:tab w:val="left" w:pos="284"/>
        </w:tabs>
        <w:ind w:left="425" w:right="0"/>
        <w:jc w:val="both"/>
        <w:rPr>
          <w:sz w:val="22"/>
          <w:szCs w:val="22"/>
          <w:lang w:val="en-GB"/>
        </w:rPr>
      </w:pPr>
      <w:r w:rsidRPr="00332792">
        <w:rPr>
          <w:sz w:val="22"/>
          <w:szCs w:val="22"/>
          <w:lang w:val="en-GB"/>
        </w:rPr>
        <w:t>-</w:t>
      </w:r>
      <w:r w:rsidRPr="00332792">
        <w:rPr>
          <w:sz w:val="22"/>
          <w:szCs w:val="22"/>
          <w:lang w:val="en-GB"/>
        </w:rPr>
        <w:tab/>
        <w:t>the Tenderer has delivered supplies under at least one</w:t>
      </w:r>
      <w:r w:rsidR="00E33412">
        <w:rPr>
          <w:sz w:val="22"/>
          <w:szCs w:val="22"/>
          <w:lang w:val="en-GB"/>
        </w:rPr>
        <w:t xml:space="preserve"> contract </w:t>
      </w:r>
      <w:r w:rsidRPr="00332792">
        <w:rPr>
          <w:sz w:val="22"/>
          <w:szCs w:val="22"/>
          <w:lang w:val="en-GB"/>
        </w:rPr>
        <w:t>with a budget of at least that of the Tenderer’s offer, in the fields of medical/laboratory equipment</w:t>
      </w:r>
      <w:r>
        <w:rPr>
          <w:sz w:val="22"/>
          <w:szCs w:val="22"/>
          <w:lang w:val="en-GB"/>
        </w:rPr>
        <w:t xml:space="preserve">, </w:t>
      </w:r>
      <w:r w:rsidRPr="00332792">
        <w:rPr>
          <w:sz w:val="22"/>
          <w:szCs w:val="22"/>
          <w:lang w:val="en-GB"/>
        </w:rPr>
        <w:t>which w</w:t>
      </w:r>
      <w:r w:rsidR="00E33412">
        <w:rPr>
          <w:sz w:val="22"/>
          <w:szCs w:val="22"/>
          <w:lang w:val="en-GB"/>
        </w:rPr>
        <w:t>as</w:t>
      </w:r>
      <w:r w:rsidRPr="00332792">
        <w:rPr>
          <w:sz w:val="22"/>
          <w:szCs w:val="22"/>
          <w:lang w:val="en-GB"/>
        </w:rPr>
        <w:t xml:space="preserve"> implemented at any moment during the following period: three years.</w:t>
      </w:r>
    </w:p>
    <w:p w14:paraId="67053663" w14:textId="597FC6BA" w:rsidR="00CB2A5B" w:rsidRDefault="00CB2A5B" w:rsidP="00371C5B">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2298A997" w14:textId="30724538" w:rsidR="00074C11" w:rsidRDefault="00074C11" w:rsidP="00371C5B">
      <w:pPr>
        <w:spacing w:before="0" w:after="120"/>
        <w:ind w:left="425"/>
        <w:rPr>
          <w:sz w:val="22"/>
          <w:szCs w:val="22"/>
        </w:rPr>
      </w:pPr>
    </w:p>
    <w:p w14:paraId="761F43FE" w14:textId="77777777" w:rsidR="00074C11" w:rsidRPr="00663C8C" w:rsidRDefault="00074C11" w:rsidP="00074C11">
      <w:pPr>
        <w:pStyle w:val="Blockquote"/>
        <w:spacing w:before="0"/>
        <w:ind w:left="425" w:right="0"/>
        <w:jc w:val="both"/>
        <w:rPr>
          <w:b/>
          <w:color w:val="FF0000"/>
          <w:sz w:val="22"/>
          <w:szCs w:val="22"/>
        </w:rPr>
      </w:pPr>
      <w:r w:rsidRPr="00663C8C">
        <w:rPr>
          <w:b/>
          <w:color w:val="FF0000"/>
          <w:sz w:val="22"/>
          <w:szCs w:val="22"/>
        </w:rPr>
        <w:t>Lot n° 2- Sample preparation equipment</w:t>
      </w:r>
    </w:p>
    <w:p w14:paraId="0C4233F1" w14:textId="31007AD7" w:rsidR="00074C11" w:rsidRPr="00371C5B" w:rsidRDefault="00074C11" w:rsidP="00074C11">
      <w:pPr>
        <w:pStyle w:val="Blockquote"/>
        <w:ind w:left="425" w:right="0"/>
        <w:jc w:val="both"/>
        <w:rPr>
          <w:sz w:val="22"/>
          <w:szCs w:val="22"/>
        </w:rPr>
      </w:pPr>
      <w:r w:rsidRPr="006E58D6">
        <w:rPr>
          <w:sz w:val="22"/>
          <w:szCs w:val="22"/>
        </w:rPr>
        <w:t xml:space="preserve">The selection criteria for tenderers to Lot n° </w:t>
      </w:r>
      <w:r>
        <w:rPr>
          <w:sz w:val="22"/>
          <w:szCs w:val="22"/>
        </w:rPr>
        <w:t>2</w:t>
      </w:r>
      <w:r w:rsidRPr="006E58D6">
        <w:rPr>
          <w:sz w:val="22"/>
          <w:szCs w:val="22"/>
        </w:rPr>
        <w:t xml:space="preserve"> are as follows:</w:t>
      </w:r>
    </w:p>
    <w:p w14:paraId="62CF49DD" w14:textId="77777777" w:rsidR="00074C11" w:rsidRPr="00074C11" w:rsidRDefault="00074C11" w:rsidP="00074C11">
      <w:pPr>
        <w:pStyle w:val="Blockquote"/>
        <w:numPr>
          <w:ilvl w:val="0"/>
          <w:numId w:val="46"/>
        </w:numPr>
        <w:tabs>
          <w:tab w:val="left" w:pos="851"/>
        </w:tabs>
        <w:ind w:right="0"/>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w:t>
      </w:r>
      <w:r w:rsidRPr="00371C5B">
        <w:rPr>
          <w:b/>
          <w:bCs/>
          <w:sz w:val="22"/>
          <w:szCs w:val="22"/>
          <w:lang w:val="en-GB"/>
        </w:rPr>
        <w:t>the last three financial years for which accounts have been closed.</w:t>
      </w:r>
    </w:p>
    <w:p w14:paraId="3D0B4859" w14:textId="77777777" w:rsidR="00BC1369" w:rsidRDefault="00BC1369" w:rsidP="00074C11">
      <w:pPr>
        <w:pStyle w:val="Blockquote"/>
        <w:tabs>
          <w:tab w:val="left" w:pos="284"/>
        </w:tabs>
        <w:ind w:right="1"/>
        <w:jc w:val="both"/>
        <w:rPr>
          <w:sz w:val="22"/>
          <w:szCs w:val="22"/>
          <w:lang w:val="es-ES"/>
        </w:rPr>
      </w:pPr>
    </w:p>
    <w:p w14:paraId="45518EA8" w14:textId="77777777" w:rsidR="00074C11" w:rsidRPr="00074C11" w:rsidRDefault="00074C11" w:rsidP="00074C11">
      <w:pPr>
        <w:pStyle w:val="Blockquote"/>
        <w:tabs>
          <w:tab w:val="left" w:pos="284"/>
        </w:tabs>
        <w:ind w:right="1"/>
        <w:jc w:val="both"/>
        <w:rPr>
          <w:sz w:val="22"/>
          <w:szCs w:val="22"/>
          <w:lang w:val="es-ES"/>
        </w:rPr>
      </w:pPr>
      <w:r w:rsidRPr="00C534C6">
        <w:rPr>
          <w:sz w:val="22"/>
          <w:szCs w:val="22"/>
          <w:lang w:val="es-ES"/>
        </w:rPr>
        <w:lastRenderedPageBreak/>
        <w:t xml:space="preserve">Criteria for legal persons: </w:t>
      </w:r>
    </w:p>
    <w:p w14:paraId="64DAA808" w14:textId="77777777" w:rsidR="00074C11" w:rsidRPr="00257327" w:rsidRDefault="00074C11" w:rsidP="00074C11">
      <w:pPr>
        <w:pStyle w:val="Blockquote"/>
        <w:tabs>
          <w:tab w:val="left" w:pos="851"/>
        </w:tabs>
        <w:ind w:left="494"/>
        <w:jc w:val="both"/>
        <w:rPr>
          <w:sz w:val="22"/>
          <w:szCs w:val="22"/>
          <w:lang w:val="en-GB"/>
        </w:rPr>
      </w:pPr>
      <w:r w:rsidRPr="00257327">
        <w:rPr>
          <w:sz w:val="22"/>
          <w:szCs w:val="22"/>
          <w:lang w:val="en-GB"/>
        </w:rPr>
        <w:t>-</w:t>
      </w:r>
      <w:r w:rsidRPr="00257327">
        <w:rPr>
          <w:sz w:val="22"/>
          <w:szCs w:val="22"/>
          <w:lang w:val="en-GB"/>
        </w:rPr>
        <w:tab/>
      </w:r>
      <w:r>
        <w:rPr>
          <w:sz w:val="22"/>
          <w:szCs w:val="22"/>
          <w:lang w:val="en-GB"/>
        </w:rPr>
        <w:t>T</w:t>
      </w:r>
      <w:r w:rsidRPr="00257327">
        <w:rPr>
          <w:sz w:val="22"/>
          <w:szCs w:val="22"/>
          <w:lang w:val="en-GB"/>
        </w:rPr>
        <w:t>he average annual turnover of the tenderer must exceed the annualised maximum budget of the tenderer’s offer i.e. the maximum budget stated in the offer, divided by the initial contract duration in years, where this exceeds 1 year</w:t>
      </w:r>
      <w:r>
        <w:rPr>
          <w:sz w:val="22"/>
          <w:szCs w:val="22"/>
          <w:lang w:val="en-GB"/>
        </w:rPr>
        <w:t>;</w:t>
      </w:r>
    </w:p>
    <w:p w14:paraId="336D356A" w14:textId="77777777" w:rsidR="00074C11" w:rsidRDefault="00074C11" w:rsidP="00074C11">
      <w:pPr>
        <w:pStyle w:val="Blockquote"/>
        <w:tabs>
          <w:tab w:val="left" w:pos="851"/>
        </w:tabs>
        <w:ind w:left="494" w:right="0"/>
        <w:jc w:val="both"/>
        <w:rPr>
          <w:sz w:val="22"/>
          <w:szCs w:val="22"/>
          <w:lang w:val="en-GB"/>
        </w:rPr>
      </w:pPr>
      <w:r w:rsidRPr="00257327">
        <w:rPr>
          <w:sz w:val="22"/>
          <w:szCs w:val="22"/>
          <w:lang w:val="en-GB"/>
        </w:rPr>
        <w:t>-</w:t>
      </w:r>
      <w:r w:rsidRPr="00257327">
        <w:rPr>
          <w:sz w:val="22"/>
          <w:szCs w:val="22"/>
          <w:lang w:val="en-GB"/>
        </w:rPr>
        <w:tab/>
        <w:t>Current ratio (current assets/current liabilities) in the last year for which accounts have been closed must be at least 1. In case of a consortium this criterion must be fulfilled by each member.</w:t>
      </w:r>
    </w:p>
    <w:p w14:paraId="7FA6FCAB" w14:textId="77777777" w:rsidR="00074C11" w:rsidRPr="00B33EE6" w:rsidRDefault="00074C11" w:rsidP="00074C11">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Pr="00B33EE6">
        <w:rPr>
          <w:b/>
          <w:sz w:val="22"/>
          <w:szCs w:val="22"/>
          <w:u w:val="single"/>
          <w:lang w:val="en-GB"/>
        </w:rPr>
        <w:t>Professional capacity of the tenderer (</w:t>
      </w:r>
      <w:r w:rsidRPr="00B33EE6">
        <w:rPr>
          <w:sz w:val="22"/>
          <w:szCs w:val="22"/>
          <w:lang w:val="en-GB"/>
        </w:rPr>
        <w:t xml:space="preserve">based on items 4 </w:t>
      </w:r>
      <w:r>
        <w:rPr>
          <w:sz w:val="22"/>
          <w:szCs w:val="22"/>
          <w:lang w:val="en-GB"/>
        </w:rPr>
        <w:t xml:space="preserve">and 5 </w:t>
      </w:r>
      <w:r w:rsidRPr="00B33EE6">
        <w:rPr>
          <w:sz w:val="22"/>
          <w:szCs w:val="22"/>
          <w:lang w:val="en-GB"/>
        </w:rPr>
        <w:t>of the tender form).</w:t>
      </w:r>
    </w:p>
    <w:p w14:paraId="3AE973D0" w14:textId="20179F20" w:rsidR="00074C11" w:rsidRPr="00B17505" w:rsidRDefault="00074C11" w:rsidP="00B17505">
      <w:pPr>
        <w:pStyle w:val="Blockquote"/>
        <w:ind w:left="43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 years preceding the submission deadline.</w:t>
      </w:r>
    </w:p>
    <w:p w14:paraId="290CC463" w14:textId="77777777" w:rsidR="00074C11" w:rsidRPr="00074C11" w:rsidRDefault="00074C11" w:rsidP="00074C11">
      <w:pPr>
        <w:pStyle w:val="Blockquote"/>
        <w:tabs>
          <w:tab w:val="left" w:pos="284"/>
        </w:tabs>
        <w:ind w:right="1"/>
        <w:jc w:val="both"/>
        <w:rPr>
          <w:sz w:val="22"/>
          <w:szCs w:val="22"/>
          <w:lang w:val="es-ES"/>
        </w:rPr>
      </w:pPr>
      <w:r w:rsidRPr="00C534C6">
        <w:rPr>
          <w:sz w:val="22"/>
          <w:szCs w:val="22"/>
          <w:lang w:val="es-ES"/>
        </w:rPr>
        <w:t xml:space="preserve">Criteria for legal persons: </w:t>
      </w:r>
    </w:p>
    <w:p w14:paraId="69D6CAED" w14:textId="77777777" w:rsidR="00074C11" w:rsidRDefault="00074C11" w:rsidP="00074C11">
      <w:pPr>
        <w:pStyle w:val="Blockquote"/>
        <w:ind w:left="431" w:right="0" w:hanging="6"/>
        <w:jc w:val="both"/>
        <w:rPr>
          <w:bCs/>
          <w:sz w:val="22"/>
          <w:szCs w:val="22"/>
          <w:lang w:val="en-GB"/>
        </w:rPr>
      </w:pPr>
      <w:r w:rsidRPr="00257327">
        <w:rPr>
          <w:b/>
          <w:bCs/>
          <w:sz w:val="22"/>
          <w:szCs w:val="22"/>
          <w:lang w:val="en-GB"/>
        </w:rPr>
        <w:t>-</w:t>
      </w:r>
      <w:r w:rsidRPr="00257327">
        <w:rPr>
          <w:b/>
          <w:bCs/>
          <w:sz w:val="22"/>
          <w:szCs w:val="22"/>
          <w:lang w:val="en-GB"/>
        </w:rPr>
        <w:tab/>
      </w:r>
      <w:r w:rsidRPr="00257327">
        <w:rPr>
          <w:bCs/>
          <w:sz w:val="22"/>
          <w:szCs w:val="22"/>
          <w:lang w:val="en-GB"/>
        </w:rPr>
        <w:t>The tenderer is sertificated for following standards: ISO 9001 - quality management system and ISO 14001- enviromental management system.</w:t>
      </w:r>
    </w:p>
    <w:p w14:paraId="7033D271" w14:textId="283B0A7A" w:rsidR="00074C11" w:rsidRPr="00332792" w:rsidRDefault="00074C11" w:rsidP="00074C11">
      <w:pPr>
        <w:pStyle w:val="Blockquote"/>
        <w:ind w:left="431" w:right="0" w:hanging="6"/>
        <w:jc w:val="both"/>
        <w:rPr>
          <w:b/>
          <w:bCs/>
          <w:sz w:val="22"/>
          <w:szCs w:val="22"/>
          <w:lang w:val="en-GB"/>
        </w:rPr>
      </w:pPr>
      <w:r w:rsidRPr="00332792">
        <w:rPr>
          <w:b/>
          <w:bCs/>
          <w:sz w:val="22"/>
          <w:szCs w:val="22"/>
          <w:lang w:val="en-GB"/>
        </w:rPr>
        <w:t xml:space="preserve"> </w:t>
      </w:r>
      <w:r>
        <w:rPr>
          <w:b/>
          <w:bCs/>
          <w:sz w:val="22"/>
          <w:szCs w:val="22"/>
          <w:lang w:val="en-GB"/>
        </w:rPr>
        <w:t xml:space="preserve">- </w:t>
      </w:r>
      <w:r w:rsidRPr="00332792">
        <w:rPr>
          <w:bCs/>
          <w:sz w:val="22"/>
          <w:szCs w:val="22"/>
          <w:lang w:val="en-GB"/>
        </w:rPr>
        <w:t>The tenderer must have at least two employed/engaged authorized service technicians, with certificates for servicing the equipment that is the subject of the Contract</w:t>
      </w:r>
      <w:r w:rsidR="00663C8C">
        <w:rPr>
          <w:bCs/>
          <w:sz w:val="22"/>
          <w:szCs w:val="22"/>
          <w:lang w:val="en-GB"/>
        </w:rPr>
        <w:t>.</w:t>
      </w:r>
    </w:p>
    <w:p w14:paraId="0F1D2BEB" w14:textId="77777777" w:rsidR="00074C11" w:rsidRDefault="00074C11" w:rsidP="00074C11">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Pr="00B33EE6">
        <w:rPr>
          <w:b/>
          <w:sz w:val="22"/>
          <w:szCs w:val="22"/>
          <w:u w:val="single"/>
          <w:lang w:val="en-GB"/>
        </w:rPr>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6 of the tender form). The reference period which will be taken into account will be t</w:t>
      </w:r>
      <w:r w:rsidRPr="00332792">
        <w:rPr>
          <w:sz w:val="22"/>
          <w:szCs w:val="22"/>
          <w:lang w:val="en-GB"/>
        </w:rPr>
        <w:t>he last three years preceding the submission deadline.</w:t>
      </w:r>
    </w:p>
    <w:p w14:paraId="6D2A9B61" w14:textId="77777777" w:rsidR="00074C11" w:rsidRPr="00074C11" w:rsidRDefault="00074C11" w:rsidP="00074C11">
      <w:pPr>
        <w:pStyle w:val="Blockquote"/>
        <w:tabs>
          <w:tab w:val="left" w:pos="284"/>
        </w:tabs>
        <w:ind w:right="1"/>
        <w:jc w:val="both"/>
        <w:rPr>
          <w:sz w:val="22"/>
          <w:szCs w:val="22"/>
          <w:lang w:val="es-ES"/>
        </w:rPr>
      </w:pPr>
      <w:r w:rsidRPr="00C534C6">
        <w:rPr>
          <w:sz w:val="22"/>
          <w:szCs w:val="22"/>
          <w:lang w:val="es-ES"/>
        </w:rPr>
        <w:t xml:space="preserve">Criteria for legal persons: </w:t>
      </w:r>
    </w:p>
    <w:p w14:paraId="37DB2739" w14:textId="7142ED42" w:rsidR="00E33412" w:rsidRDefault="00E33412" w:rsidP="00E33412">
      <w:pPr>
        <w:pStyle w:val="Blockquote"/>
        <w:numPr>
          <w:ilvl w:val="0"/>
          <w:numId w:val="47"/>
        </w:numPr>
        <w:tabs>
          <w:tab w:val="left" w:pos="284"/>
        </w:tabs>
        <w:ind w:right="0"/>
        <w:jc w:val="both"/>
        <w:rPr>
          <w:sz w:val="22"/>
          <w:szCs w:val="22"/>
          <w:lang w:val="en-GB"/>
        </w:rPr>
      </w:pPr>
      <w:r>
        <w:rPr>
          <w:sz w:val="22"/>
          <w:szCs w:val="22"/>
          <w:lang w:val="en-GB"/>
        </w:rPr>
        <w:t>T</w:t>
      </w:r>
      <w:r w:rsidRPr="00332792">
        <w:rPr>
          <w:sz w:val="22"/>
          <w:szCs w:val="22"/>
          <w:lang w:val="en-GB"/>
        </w:rPr>
        <w:t>he Tenderer has delivered supplies under at least one</w:t>
      </w:r>
      <w:r>
        <w:rPr>
          <w:sz w:val="22"/>
          <w:szCs w:val="22"/>
          <w:lang w:val="en-GB"/>
        </w:rPr>
        <w:t xml:space="preserve"> contract </w:t>
      </w:r>
      <w:r w:rsidRPr="00332792">
        <w:rPr>
          <w:sz w:val="22"/>
          <w:szCs w:val="22"/>
          <w:lang w:val="en-GB"/>
        </w:rPr>
        <w:t>with a budget of at least that of the Tenderer’s offer, in the fields of medical/laboratory equipment</w:t>
      </w:r>
      <w:r>
        <w:rPr>
          <w:sz w:val="22"/>
          <w:szCs w:val="22"/>
          <w:lang w:val="en-GB"/>
        </w:rPr>
        <w:t xml:space="preserve">, </w:t>
      </w:r>
      <w:r w:rsidRPr="00332792">
        <w:rPr>
          <w:sz w:val="22"/>
          <w:szCs w:val="22"/>
          <w:lang w:val="en-GB"/>
        </w:rPr>
        <w:t>which w</w:t>
      </w:r>
      <w:r>
        <w:rPr>
          <w:sz w:val="22"/>
          <w:szCs w:val="22"/>
          <w:lang w:val="en-GB"/>
        </w:rPr>
        <w:t>as</w:t>
      </w:r>
      <w:r w:rsidRPr="00332792">
        <w:rPr>
          <w:sz w:val="22"/>
          <w:szCs w:val="22"/>
          <w:lang w:val="en-GB"/>
        </w:rPr>
        <w:t xml:space="preserve"> implemented at any moment during the following period: three years.</w:t>
      </w:r>
    </w:p>
    <w:p w14:paraId="5643C7AB" w14:textId="77777777" w:rsidR="00074C11" w:rsidRDefault="00074C11" w:rsidP="00074C11">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Pr>
          <w:sz w:val="22"/>
          <w:szCs w:val="22"/>
          <w:lang w:val="en-GB"/>
        </w:rPr>
        <w:t>implemented</w:t>
      </w:r>
      <w:r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Pr="002065E9">
        <w:rPr>
          <w:sz w:val="22"/>
          <w:szCs w:val="22"/>
          <w:lang w:val="en-GB"/>
        </w:rPr>
        <w:t xml:space="preserve">partially implemented during, but </w:t>
      </w:r>
      <w:r w:rsidRPr="00CB2A5B">
        <w:rPr>
          <w:sz w:val="22"/>
          <w:szCs w:val="22"/>
          <w:lang w:val="en-GB"/>
        </w:rPr>
        <w:t>not yet completed</w:t>
      </w:r>
      <w:r>
        <w:rPr>
          <w:sz w:val="22"/>
          <w:szCs w:val="22"/>
          <w:lang w:val="en-GB"/>
        </w:rPr>
        <w:t xml:space="preserve"> within the reference period</w:t>
      </w:r>
      <w:r w:rsidRPr="00CB2A5B">
        <w:rPr>
          <w:sz w:val="22"/>
          <w:szCs w:val="22"/>
          <w:lang w:val="en-GB"/>
        </w:rPr>
        <w:t>. Only the p</w:t>
      </w:r>
      <w:r>
        <w:rPr>
          <w:sz w:val="22"/>
          <w:szCs w:val="22"/>
          <w:lang w:val="en-GB"/>
        </w:rPr>
        <w:t>a</w:t>
      </w:r>
      <w:r w:rsidRPr="00CB2A5B">
        <w:rPr>
          <w:sz w:val="22"/>
          <w:szCs w:val="22"/>
          <w:lang w:val="en-GB"/>
        </w:rPr>
        <w:t>rt completed during the reference period will be taken into consideration. This p</w:t>
      </w:r>
      <w:r>
        <w:rPr>
          <w:sz w:val="22"/>
          <w:szCs w:val="22"/>
          <w:lang w:val="en-GB"/>
        </w:rPr>
        <w:t>art</w:t>
      </w:r>
      <w:r w:rsidRPr="00CB2A5B">
        <w:rPr>
          <w:sz w:val="22"/>
          <w:szCs w:val="22"/>
          <w:lang w:val="en-GB"/>
        </w:rPr>
        <w:t xml:space="preserve"> will have to be supported by documentary evidence (</w:t>
      </w:r>
      <w:r w:rsidRPr="005C26A3">
        <w:rPr>
          <w:sz w:val="22"/>
          <w:szCs w:val="22"/>
          <w:lang w:val="en-GB"/>
        </w:rPr>
        <w:t xml:space="preserve">approval of report or </w:t>
      </w:r>
      <w:r>
        <w:rPr>
          <w:sz w:val="22"/>
          <w:szCs w:val="22"/>
          <w:lang w:val="en-GB"/>
        </w:rPr>
        <w:t>deliverable</w:t>
      </w:r>
      <w:r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Pr>
          <w:sz w:val="22"/>
          <w:szCs w:val="22"/>
          <w:lang w:val="en-GB"/>
        </w:rPr>
        <w:t xml:space="preserve"> </w:t>
      </w:r>
      <w:r w:rsidRPr="005C26A3">
        <w:rPr>
          <w:sz w:val="22"/>
          <w:szCs w:val="22"/>
          <w:lang w:val="en-GB"/>
        </w:rPr>
        <w:t>(such as consortium agreement and bank transfers between consortium members</w:t>
      </w:r>
      <w:r>
        <w:rPr>
          <w:sz w:val="22"/>
          <w:szCs w:val="22"/>
          <w:lang w:val="en-GB"/>
        </w:rPr>
        <w:t>)</w:t>
      </w:r>
      <w:r w:rsidRPr="00CB2A5B">
        <w:rPr>
          <w:sz w:val="22"/>
          <w:szCs w:val="22"/>
          <w:lang w:val="en-GB"/>
        </w:rPr>
        <w:t>, together with a description of the nature of the supplies provided.</w:t>
      </w:r>
    </w:p>
    <w:p w14:paraId="74E35A44" w14:textId="77777777" w:rsidR="00BC1369" w:rsidRDefault="00BC1369" w:rsidP="00371C5B">
      <w:pPr>
        <w:spacing w:before="0" w:after="120"/>
        <w:ind w:left="425"/>
        <w:rPr>
          <w:b/>
          <w:color w:val="FF0000"/>
          <w:sz w:val="22"/>
          <w:szCs w:val="22"/>
        </w:rPr>
      </w:pPr>
    </w:p>
    <w:p w14:paraId="2AD630EA" w14:textId="5F08FABE" w:rsidR="00074C11" w:rsidRDefault="009633A9" w:rsidP="00371C5B">
      <w:pPr>
        <w:spacing w:before="0" w:after="120"/>
        <w:ind w:left="425"/>
        <w:rPr>
          <w:sz w:val="22"/>
          <w:szCs w:val="22"/>
        </w:rPr>
      </w:pPr>
      <w:r w:rsidRPr="00663C8C">
        <w:rPr>
          <w:b/>
          <w:color w:val="FF0000"/>
          <w:sz w:val="22"/>
          <w:szCs w:val="22"/>
        </w:rPr>
        <w:t xml:space="preserve">Lot n° </w:t>
      </w:r>
      <w:r>
        <w:rPr>
          <w:b/>
          <w:color w:val="FF0000"/>
          <w:sz w:val="22"/>
          <w:szCs w:val="22"/>
        </w:rPr>
        <w:t>3</w:t>
      </w:r>
      <w:r w:rsidR="00BC1369">
        <w:rPr>
          <w:b/>
          <w:color w:val="FF0000"/>
          <w:sz w:val="22"/>
          <w:szCs w:val="22"/>
        </w:rPr>
        <w:t>- Sampling</w:t>
      </w:r>
      <w:r w:rsidRPr="009633A9">
        <w:rPr>
          <w:b/>
          <w:color w:val="FF0000"/>
          <w:sz w:val="22"/>
          <w:szCs w:val="22"/>
        </w:rPr>
        <w:t xml:space="preserve"> equipment and consumables</w:t>
      </w:r>
    </w:p>
    <w:p w14:paraId="625EBCFF" w14:textId="5422D9E1" w:rsidR="009633A9" w:rsidRPr="00371C5B" w:rsidRDefault="009633A9" w:rsidP="009633A9">
      <w:pPr>
        <w:pStyle w:val="Blockquote"/>
        <w:ind w:left="425" w:right="0"/>
        <w:jc w:val="both"/>
        <w:rPr>
          <w:sz w:val="22"/>
          <w:szCs w:val="22"/>
        </w:rPr>
      </w:pPr>
      <w:r w:rsidRPr="006E58D6">
        <w:rPr>
          <w:sz w:val="22"/>
          <w:szCs w:val="22"/>
        </w:rPr>
        <w:t>The selection criteria for tenderers to Lot n</w:t>
      </w:r>
      <w:r w:rsidRPr="002E4D07">
        <w:rPr>
          <w:sz w:val="22"/>
          <w:szCs w:val="22"/>
        </w:rPr>
        <w:t xml:space="preserve">° </w:t>
      </w:r>
      <w:r w:rsidR="00BC1369" w:rsidRPr="002E4D07">
        <w:rPr>
          <w:sz w:val="22"/>
          <w:szCs w:val="22"/>
        </w:rPr>
        <w:t>3</w:t>
      </w:r>
      <w:r w:rsidRPr="002E4D07">
        <w:rPr>
          <w:sz w:val="22"/>
          <w:szCs w:val="22"/>
        </w:rPr>
        <w:t xml:space="preserve"> are as follows:</w:t>
      </w:r>
    </w:p>
    <w:p w14:paraId="67856B16" w14:textId="77777777" w:rsidR="009633A9" w:rsidRPr="00074C11" w:rsidRDefault="009633A9" w:rsidP="009633A9">
      <w:pPr>
        <w:pStyle w:val="Blockquote"/>
        <w:numPr>
          <w:ilvl w:val="0"/>
          <w:numId w:val="46"/>
        </w:numPr>
        <w:tabs>
          <w:tab w:val="left" w:pos="851"/>
        </w:tabs>
        <w:ind w:right="0"/>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w:t>
      </w:r>
      <w:r w:rsidRPr="00371C5B">
        <w:rPr>
          <w:b/>
          <w:bCs/>
          <w:sz w:val="22"/>
          <w:szCs w:val="22"/>
          <w:lang w:val="en-GB"/>
        </w:rPr>
        <w:t>the last three financial years for which accounts have been closed.</w:t>
      </w:r>
    </w:p>
    <w:p w14:paraId="510ADE09" w14:textId="77777777" w:rsidR="00BC1369" w:rsidRDefault="00BC1369" w:rsidP="009633A9">
      <w:pPr>
        <w:pStyle w:val="Blockquote"/>
        <w:tabs>
          <w:tab w:val="left" w:pos="284"/>
        </w:tabs>
        <w:ind w:right="1"/>
        <w:jc w:val="both"/>
        <w:rPr>
          <w:sz w:val="22"/>
          <w:szCs w:val="22"/>
          <w:lang w:val="es-ES"/>
        </w:rPr>
      </w:pPr>
    </w:p>
    <w:p w14:paraId="046A0CC7" w14:textId="77777777" w:rsidR="009633A9" w:rsidRPr="00074C11" w:rsidRDefault="009633A9" w:rsidP="009633A9">
      <w:pPr>
        <w:pStyle w:val="Blockquote"/>
        <w:tabs>
          <w:tab w:val="left" w:pos="284"/>
        </w:tabs>
        <w:ind w:right="1"/>
        <w:jc w:val="both"/>
        <w:rPr>
          <w:sz w:val="22"/>
          <w:szCs w:val="22"/>
          <w:lang w:val="es-ES"/>
        </w:rPr>
      </w:pPr>
      <w:r w:rsidRPr="00C534C6">
        <w:rPr>
          <w:sz w:val="22"/>
          <w:szCs w:val="22"/>
          <w:lang w:val="es-ES"/>
        </w:rPr>
        <w:lastRenderedPageBreak/>
        <w:t xml:space="preserve">Criteria for legal persons: </w:t>
      </w:r>
    </w:p>
    <w:p w14:paraId="7378E357" w14:textId="77777777" w:rsidR="009633A9" w:rsidRPr="00257327" w:rsidRDefault="009633A9" w:rsidP="009633A9">
      <w:pPr>
        <w:pStyle w:val="Blockquote"/>
        <w:tabs>
          <w:tab w:val="left" w:pos="851"/>
        </w:tabs>
        <w:ind w:left="494"/>
        <w:jc w:val="both"/>
        <w:rPr>
          <w:sz w:val="22"/>
          <w:szCs w:val="22"/>
          <w:lang w:val="en-GB"/>
        </w:rPr>
      </w:pPr>
      <w:r w:rsidRPr="00257327">
        <w:rPr>
          <w:sz w:val="22"/>
          <w:szCs w:val="22"/>
          <w:lang w:val="en-GB"/>
        </w:rPr>
        <w:t>-</w:t>
      </w:r>
      <w:r w:rsidRPr="00257327">
        <w:rPr>
          <w:sz w:val="22"/>
          <w:szCs w:val="22"/>
          <w:lang w:val="en-GB"/>
        </w:rPr>
        <w:tab/>
      </w:r>
      <w:r>
        <w:rPr>
          <w:sz w:val="22"/>
          <w:szCs w:val="22"/>
          <w:lang w:val="en-GB"/>
        </w:rPr>
        <w:t>T</w:t>
      </w:r>
      <w:r w:rsidRPr="00257327">
        <w:rPr>
          <w:sz w:val="22"/>
          <w:szCs w:val="22"/>
          <w:lang w:val="en-GB"/>
        </w:rPr>
        <w:t>he average annual turnover of the tenderer must exceed the annualised maximum budget of the tenderer’s offer i.e. the maximum budget stated in the offer, divided by the initial contract duration in years, where this exceeds 1 year</w:t>
      </w:r>
      <w:r>
        <w:rPr>
          <w:sz w:val="22"/>
          <w:szCs w:val="22"/>
          <w:lang w:val="en-GB"/>
        </w:rPr>
        <w:t>;</w:t>
      </w:r>
    </w:p>
    <w:p w14:paraId="7FB67185" w14:textId="77777777" w:rsidR="009633A9" w:rsidRDefault="009633A9" w:rsidP="009633A9">
      <w:pPr>
        <w:pStyle w:val="Blockquote"/>
        <w:tabs>
          <w:tab w:val="left" w:pos="851"/>
        </w:tabs>
        <w:ind w:left="494" w:right="0"/>
        <w:jc w:val="both"/>
        <w:rPr>
          <w:sz w:val="22"/>
          <w:szCs w:val="22"/>
          <w:lang w:val="en-GB"/>
        </w:rPr>
      </w:pPr>
      <w:r w:rsidRPr="00257327">
        <w:rPr>
          <w:sz w:val="22"/>
          <w:szCs w:val="22"/>
          <w:lang w:val="en-GB"/>
        </w:rPr>
        <w:t>-</w:t>
      </w:r>
      <w:r w:rsidRPr="00257327">
        <w:rPr>
          <w:sz w:val="22"/>
          <w:szCs w:val="22"/>
          <w:lang w:val="en-GB"/>
        </w:rPr>
        <w:tab/>
        <w:t>Current ratio (current assets/current liabilities) in the last year for which accounts have been closed must be at least 1. In case of a consortium this criterion must be fulfilled by each member.</w:t>
      </w:r>
    </w:p>
    <w:p w14:paraId="152DF155" w14:textId="77777777" w:rsidR="009633A9" w:rsidRPr="00B33EE6" w:rsidRDefault="009633A9" w:rsidP="009633A9">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Pr="00B33EE6">
        <w:rPr>
          <w:b/>
          <w:sz w:val="22"/>
          <w:szCs w:val="22"/>
          <w:u w:val="single"/>
          <w:lang w:val="en-GB"/>
        </w:rPr>
        <w:t>Professional capacity of the tenderer (</w:t>
      </w:r>
      <w:r w:rsidRPr="00B33EE6">
        <w:rPr>
          <w:sz w:val="22"/>
          <w:szCs w:val="22"/>
          <w:lang w:val="en-GB"/>
        </w:rPr>
        <w:t xml:space="preserve">based on items 4 </w:t>
      </w:r>
      <w:r>
        <w:rPr>
          <w:sz w:val="22"/>
          <w:szCs w:val="22"/>
          <w:lang w:val="en-GB"/>
        </w:rPr>
        <w:t xml:space="preserve">and 5 </w:t>
      </w:r>
      <w:r w:rsidRPr="00B33EE6">
        <w:rPr>
          <w:sz w:val="22"/>
          <w:szCs w:val="22"/>
          <w:lang w:val="en-GB"/>
        </w:rPr>
        <w:t>of the tender form).</w:t>
      </w:r>
    </w:p>
    <w:p w14:paraId="1E9000A7" w14:textId="77777777" w:rsidR="009633A9" w:rsidRPr="00B17505" w:rsidRDefault="009633A9" w:rsidP="009633A9">
      <w:pPr>
        <w:pStyle w:val="Blockquote"/>
        <w:ind w:left="43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 years preceding the submission deadline.</w:t>
      </w:r>
    </w:p>
    <w:p w14:paraId="1575D80B" w14:textId="77777777" w:rsidR="009633A9" w:rsidRPr="00074C11" w:rsidRDefault="009633A9" w:rsidP="009633A9">
      <w:pPr>
        <w:pStyle w:val="Blockquote"/>
        <w:tabs>
          <w:tab w:val="left" w:pos="284"/>
        </w:tabs>
        <w:ind w:right="1"/>
        <w:jc w:val="both"/>
        <w:rPr>
          <w:sz w:val="22"/>
          <w:szCs w:val="22"/>
          <w:lang w:val="es-ES"/>
        </w:rPr>
      </w:pPr>
      <w:r w:rsidRPr="00C534C6">
        <w:rPr>
          <w:sz w:val="22"/>
          <w:szCs w:val="22"/>
          <w:lang w:val="es-ES"/>
        </w:rPr>
        <w:t xml:space="preserve">Criteria for legal persons: </w:t>
      </w:r>
    </w:p>
    <w:p w14:paraId="64EDDB83" w14:textId="77777777" w:rsidR="009633A9" w:rsidRDefault="009633A9" w:rsidP="009633A9">
      <w:pPr>
        <w:pStyle w:val="Blockquote"/>
        <w:ind w:left="431" w:right="0" w:hanging="6"/>
        <w:jc w:val="both"/>
        <w:rPr>
          <w:bCs/>
          <w:sz w:val="22"/>
          <w:szCs w:val="22"/>
          <w:lang w:val="en-GB"/>
        </w:rPr>
      </w:pPr>
      <w:r w:rsidRPr="00257327">
        <w:rPr>
          <w:b/>
          <w:bCs/>
          <w:sz w:val="22"/>
          <w:szCs w:val="22"/>
          <w:lang w:val="en-GB"/>
        </w:rPr>
        <w:t>-</w:t>
      </w:r>
      <w:r w:rsidRPr="00257327">
        <w:rPr>
          <w:b/>
          <w:bCs/>
          <w:sz w:val="22"/>
          <w:szCs w:val="22"/>
          <w:lang w:val="en-GB"/>
        </w:rPr>
        <w:tab/>
      </w:r>
      <w:r w:rsidRPr="00257327">
        <w:rPr>
          <w:bCs/>
          <w:sz w:val="22"/>
          <w:szCs w:val="22"/>
          <w:lang w:val="en-GB"/>
        </w:rPr>
        <w:t>The tenderer is sertificated for following standards: ISO 9001 - quality management system and ISO 14001- enviromental management system.</w:t>
      </w:r>
    </w:p>
    <w:p w14:paraId="140B0F4D" w14:textId="77777777" w:rsidR="009633A9" w:rsidRPr="00332792" w:rsidRDefault="009633A9" w:rsidP="009633A9">
      <w:pPr>
        <w:pStyle w:val="Blockquote"/>
        <w:ind w:left="431" w:right="0" w:hanging="6"/>
        <w:jc w:val="both"/>
        <w:rPr>
          <w:b/>
          <w:bCs/>
          <w:sz w:val="22"/>
          <w:szCs w:val="22"/>
          <w:lang w:val="en-GB"/>
        </w:rPr>
      </w:pPr>
      <w:r w:rsidRPr="00332792">
        <w:rPr>
          <w:b/>
          <w:bCs/>
          <w:sz w:val="22"/>
          <w:szCs w:val="22"/>
          <w:lang w:val="en-GB"/>
        </w:rPr>
        <w:t xml:space="preserve"> </w:t>
      </w:r>
      <w:r>
        <w:rPr>
          <w:b/>
          <w:bCs/>
          <w:sz w:val="22"/>
          <w:szCs w:val="22"/>
          <w:lang w:val="en-GB"/>
        </w:rPr>
        <w:t xml:space="preserve">- </w:t>
      </w:r>
      <w:r w:rsidRPr="00332792">
        <w:rPr>
          <w:bCs/>
          <w:sz w:val="22"/>
          <w:szCs w:val="22"/>
          <w:lang w:val="en-GB"/>
        </w:rPr>
        <w:t>The tenderer must have at least two employed/engaged authorized service technicians, with certificates for servicing the equipment that is the subject of the Contract</w:t>
      </w:r>
      <w:r>
        <w:rPr>
          <w:bCs/>
          <w:sz w:val="22"/>
          <w:szCs w:val="22"/>
          <w:lang w:val="en-GB"/>
        </w:rPr>
        <w:t>.</w:t>
      </w:r>
    </w:p>
    <w:p w14:paraId="0756C73B" w14:textId="77777777" w:rsidR="009633A9" w:rsidRDefault="009633A9" w:rsidP="009633A9">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Pr="00B33EE6">
        <w:rPr>
          <w:b/>
          <w:sz w:val="22"/>
          <w:szCs w:val="22"/>
          <w:u w:val="single"/>
          <w:lang w:val="en-GB"/>
        </w:rPr>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6 of the tender form). The reference period which will be taken into account will be t</w:t>
      </w:r>
      <w:r w:rsidRPr="00332792">
        <w:rPr>
          <w:sz w:val="22"/>
          <w:szCs w:val="22"/>
          <w:lang w:val="en-GB"/>
        </w:rPr>
        <w:t>he last three years preceding the submission deadline.</w:t>
      </w:r>
    </w:p>
    <w:p w14:paraId="2725D623" w14:textId="77777777" w:rsidR="009633A9" w:rsidRPr="00074C11" w:rsidRDefault="009633A9" w:rsidP="009633A9">
      <w:pPr>
        <w:pStyle w:val="Blockquote"/>
        <w:tabs>
          <w:tab w:val="left" w:pos="284"/>
        </w:tabs>
        <w:ind w:right="1"/>
        <w:jc w:val="both"/>
        <w:rPr>
          <w:sz w:val="22"/>
          <w:szCs w:val="22"/>
          <w:lang w:val="es-ES"/>
        </w:rPr>
      </w:pPr>
      <w:r w:rsidRPr="00C534C6">
        <w:rPr>
          <w:sz w:val="22"/>
          <w:szCs w:val="22"/>
          <w:lang w:val="es-ES"/>
        </w:rPr>
        <w:t xml:space="preserve">Criteria for legal persons: </w:t>
      </w:r>
    </w:p>
    <w:p w14:paraId="1B6A230B" w14:textId="77777777" w:rsidR="00E33412" w:rsidRDefault="00E33412" w:rsidP="00E33412">
      <w:pPr>
        <w:pStyle w:val="Blockquote"/>
        <w:numPr>
          <w:ilvl w:val="0"/>
          <w:numId w:val="47"/>
        </w:numPr>
        <w:tabs>
          <w:tab w:val="left" w:pos="284"/>
        </w:tabs>
        <w:ind w:right="0"/>
        <w:jc w:val="both"/>
        <w:rPr>
          <w:sz w:val="22"/>
          <w:szCs w:val="22"/>
          <w:lang w:val="en-GB"/>
        </w:rPr>
      </w:pPr>
      <w:r>
        <w:rPr>
          <w:sz w:val="22"/>
          <w:szCs w:val="22"/>
          <w:lang w:val="en-GB"/>
        </w:rPr>
        <w:t>T</w:t>
      </w:r>
      <w:r w:rsidRPr="00332792">
        <w:rPr>
          <w:sz w:val="22"/>
          <w:szCs w:val="22"/>
          <w:lang w:val="en-GB"/>
        </w:rPr>
        <w:t>he Tenderer has delivered supplies under at least one</w:t>
      </w:r>
      <w:r>
        <w:rPr>
          <w:sz w:val="22"/>
          <w:szCs w:val="22"/>
          <w:lang w:val="en-GB"/>
        </w:rPr>
        <w:t xml:space="preserve"> contract </w:t>
      </w:r>
      <w:r w:rsidRPr="00332792">
        <w:rPr>
          <w:sz w:val="22"/>
          <w:szCs w:val="22"/>
          <w:lang w:val="en-GB"/>
        </w:rPr>
        <w:t>with a budget of at least that of the Tenderer’s offer, in the fields of medical/laboratory equipment</w:t>
      </w:r>
      <w:r>
        <w:rPr>
          <w:sz w:val="22"/>
          <w:szCs w:val="22"/>
          <w:lang w:val="en-GB"/>
        </w:rPr>
        <w:t xml:space="preserve">, </w:t>
      </w:r>
      <w:r w:rsidRPr="00332792">
        <w:rPr>
          <w:sz w:val="22"/>
          <w:szCs w:val="22"/>
          <w:lang w:val="en-GB"/>
        </w:rPr>
        <w:t>which w</w:t>
      </w:r>
      <w:r>
        <w:rPr>
          <w:sz w:val="22"/>
          <w:szCs w:val="22"/>
          <w:lang w:val="en-GB"/>
        </w:rPr>
        <w:t>as</w:t>
      </w:r>
      <w:r w:rsidRPr="00332792">
        <w:rPr>
          <w:sz w:val="22"/>
          <w:szCs w:val="22"/>
          <w:lang w:val="en-GB"/>
        </w:rPr>
        <w:t xml:space="preserve"> implemented at any moment during the following period: three years.</w:t>
      </w:r>
    </w:p>
    <w:p w14:paraId="41446DA1" w14:textId="0E18F4FC" w:rsidR="00BC1369" w:rsidRPr="008664F0" w:rsidRDefault="009633A9" w:rsidP="008664F0">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Pr>
          <w:sz w:val="22"/>
          <w:szCs w:val="22"/>
          <w:lang w:val="en-GB"/>
        </w:rPr>
        <w:t>implemented</w:t>
      </w:r>
      <w:r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Pr="002065E9">
        <w:rPr>
          <w:sz w:val="22"/>
          <w:szCs w:val="22"/>
          <w:lang w:val="en-GB"/>
        </w:rPr>
        <w:t xml:space="preserve">partially implemented during, but </w:t>
      </w:r>
      <w:r w:rsidRPr="00CB2A5B">
        <w:rPr>
          <w:sz w:val="22"/>
          <w:szCs w:val="22"/>
          <w:lang w:val="en-GB"/>
        </w:rPr>
        <w:t>not yet completed</w:t>
      </w:r>
      <w:r>
        <w:rPr>
          <w:sz w:val="22"/>
          <w:szCs w:val="22"/>
          <w:lang w:val="en-GB"/>
        </w:rPr>
        <w:t xml:space="preserve"> within the reference period</w:t>
      </w:r>
      <w:r w:rsidRPr="00CB2A5B">
        <w:rPr>
          <w:sz w:val="22"/>
          <w:szCs w:val="22"/>
          <w:lang w:val="en-GB"/>
        </w:rPr>
        <w:t>. Only the p</w:t>
      </w:r>
      <w:r>
        <w:rPr>
          <w:sz w:val="22"/>
          <w:szCs w:val="22"/>
          <w:lang w:val="en-GB"/>
        </w:rPr>
        <w:t>a</w:t>
      </w:r>
      <w:r w:rsidRPr="00CB2A5B">
        <w:rPr>
          <w:sz w:val="22"/>
          <w:szCs w:val="22"/>
          <w:lang w:val="en-GB"/>
        </w:rPr>
        <w:t>rt completed during the reference period will be taken into consideration. This p</w:t>
      </w:r>
      <w:r>
        <w:rPr>
          <w:sz w:val="22"/>
          <w:szCs w:val="22"/>
          <w:lang w:val="en-GB"/>
        </w:rPr>
        <w:t>art</w:t>
      </w:r>
      <w:r w:rsidRPr="00CB2A5B">
        <w:rPr>
          <w:sz w:val="22"/>
          <w:szCs w:val="22"/>
          <w:lang w:val="en-GB"/>
        </w:rPr>
        <w:t xml:space="preserve"> will have to be supported by documentary evidence (</w:t>
      </w:r>
      <w:r w:rsidRPr="005C26A3">
        <w:rPr>
          <w:sz w:val="22"/>
          <w:szCs w:val="22"/>
          <w:lang w:val="en-GB"/>
        </w:rPr>
        <w:t xml:space="preserve">approval of report or </w:t>
      </w:r>
      <w:r>
        <w:rPr>
          <w:sz w:val="22"/>
          <w:szCs w:val="22"/>
          <w:lang w:val="en-GB"/>
        </w:rPr>
        <w:t>deliverable</w:t>
      </w:r>
      <w:r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Pr>
          <w:sz w:val="22"/>
          <w:szCs w:val="22"/>
          <w:lang w:val="en-GB"/>
        </w:rPr>
        <w:t xml:space="preserve"> </w:t>
      </w:r>
      <w:r w:rsidRPr="005C26A3">
        <w:rPr>
          <w:sz w:val="22"/>
          <w:szCs w:val="22"/>
          <w:lang w:val="en-GB"/>
        </w:rPr>
        <w:t>(such as consortium agreement and bank transfers between consortium members</w:t>
      </w:r>
      <w:r>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E81F668" w14:textId="0D0D3479" w:rsidR="009633A9" w:rsidRDefault="00074C11" w:rsidP="00C457F5">
      <w:pPr>
        <w:pStyle w:val="Blockquote"/>
        <w:spacing w:before="0"/>
        <w:ind w:left="425" w:right="0"/>
        <w:jc w:val="both"/>
        <w:rPr>
          <w:sz w:val="22"/>
          <w:szCs w:val="22"/>
          <w:lang w:val="en-GB"/>
        </w:rPr>
      </w:pPr>
      <w:r w:rsidRPr="00074C11">
        <w:rPr>
          <w:sz w:val="22"/>
          <w:szCs w:val="22"/>
          <w:lang w:val="en-GB"/>
        </w:rPr>
        <w:t>The sole award criterion will be the price. The contract will be awarded to the lowest compliant tender.</w:t>
      </w:r>
    </w:p>
    <w:p w14:paraId="793B56EE" w14:textId="648F0A10" w:rsidR="006F5FD0" w:rsidRPr="00B33EE6" w:rsidRDefault="000D50F1" w:rsidP="00347E84">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lastRenderedPageBreak/>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CEC3424" w:rsidR="006F5FD0" w:rsidRPr="00B33EE6" w:rsidRDefault="00994EA3" w:rsidP="00371C5B">
      <w:pPr>
        <w:pStyle w:val="Blockquote"/>
        <w:spacing w:before="40" w:after="60"/>
        <w:ind w:left="425" w:righ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w:t>
      </w:r>
      <w:r w:rsidRPr="003C3AAD">
        <w:rPr>
          <w:rStyle w:val="Emphasis"/>
          <w:i w:val="0"/>
          <w:sz w:val="22"/>
          <w:szCs w:val="22"/>
          <w:lang w:val="en-GB"/>
        </w:rPr>
        <w:t xml:space="preserve">tenders is </w:t>
      </w:r>
      <w:r w:rsidR="00B26A26" w:rsidRPr="003C3AAD">
        <w:rPr>
          <w:rStyle w:val="Emphasis"/>
          <w:b/>
          <w:i w:val="0"/>
          <w:sz w:val="22"/>
          <w:szCs w:val="22"/>
          <w:lang w:val="en-GB"/>
        </w:rPr>
        <w:t>0</w:t>
      </w:r>
      <w:r w:rsidR="005E0568">
        <w:rPr>
          <w:rStyle w:val="Emphasis"/>
          <w:b/>
          <w:i w:val="0"/>
          <w:sz w:val="22"/>
          <w:szCs w:val="22"/>
          <w:lang w:val="sr-Cyrl-RS"/>
        </w:rPr>
        <w:t>7</w:t>
      </w:r>
      <w:r w:rsidR="00B26A26" w:rsidRPr="003C3AAD">
        <w:rPr>
          <w:rStyle w:val="Emphasis"/>
          <w:b/>
          <w:i w:val="0"/>
          <w:sz w:val="22"/>
          <w:szCs w:val="22"/>
          <w:lang w:val="en-GB"/>
        </w:rPr>
        <w:t xml:space="preserve">.05.2025. at </w:t>
      </w:r>
      <w:r w:rsidR="003C3AAD" w:rsidRPr="003C3AAD">
        <w:rPr>
          <w:rStyle w:val="Emphasis"/>
          <w:b/>
          <w:i w:val="0"/>
          <w:sz w:val="22"/>
          <w:szCs w:val="22"/>
          <w:lang w:val="en-GB"/>
        </w:rPr>
        <w:t>12:00 h.</w:t>
      </w:r>
      <w:r w:rsidR="00B26A26" w:rsidRPr="00B33EE6">
        <w:rPr>
          <w:i/>
          <w:sz w:val="22"/>
          <w:szCs w:val="22"/>
          <w:lang w:val="en-GB"/>
        </w:rPr>
        <w:t xml:space="preserve"> </w:t>
      </w:r>
      <w:bookmarkStart w:id="17" w:name="_GoBack"/>
      <w:bookmarkEnd w:id="17"/>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269F37F6"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w:t>
      </w:r>
      <w:r w:rsidRPr="002E4D07">
        <w:rPr>
          <w:sz w:val="22"/>
          <w:szCs w:val="22"/>
          <w:lang w:val="en-GB"/>
        </w:rPr>
        <w:t xml:space="preserve">template </w:t>
      </w:r>
      <w:bookmarkStart w:id="18" w:name="_Hlk193319531"/>
      <w:r w:rsidR="00C457F5" w:rsidRPr="002E4D07">
        <w:rPr>
          <w:sz w:val="22"/>
          <w:szCs w:val="22"/>
          <w:lang w:val="en-GB"/>
        </w:rPr>
        <w:t>provided in the tender dossier</w:t>
      </w:r>
      <w:bookmarkEnd w:id="18"/>
      <w:r w:rsidR="00C457F5" w:rsidRPr="002E4D07">
        <w:rPr>
          <w:sz w:val="22"/>
          <w:szCs w:val="22"/>
          <w:lang w:val="en-GB"/>
        </w:rPr>
        <w:t>.</w:t>
      </w:r>
    </w:p>
    <w:p w14:paraId="438E0786" w14:textId="1CCB3707" w:rsidR="006F5FD0" w:rsidRPr="00B33EE6" w:rsidRDefault="006F5FD0" w:rsidP="00371C5B">
      <w:pPr>
        <w:pStyle w:val="Blockquote"/>
        <w:ind w:left="425" w:right="0"/>
        <w:jc w:val="both"/>
        <w:rPr>
          <w:sz w:val="22"/>
          <w:szCs w:val="22"/>
          <w:lang w:val="en-GB"/>
        </w:rPr>
      </w:pPr>
      <w:r w:rsidRPr="002E4D07">
        <w:rPr>
          <w:sz w:val="22"/>
          <w:szCs w:val="22"/>
          <w:lang w:val="en-GB"/>
        </w:rPr>
        <w:t>Any additional documentation (brochure, letter, etc</w:t>
      </w:r>
      <w:r w:rsidR="00235A71" w:rsidRPr="002E4D07">
        <w:rPr>
          <w:sz w:val="22"/>
          <w:szCs w:val="22"/>
          <w:lang w:val="en-GB"/>
        </w:rPr>
        <w:t>.</w:t>
      </w:r>
      <w:r w:rsidRPr="002E4D07">
        <w:rPr>
          <w:sz w:val="22"/>
          <w:szCs w:val="22"/>
          <w:lang w:val="en-GB"/>
        </w:rPr>
        <w:t xml:space="preserve">) sent with a </w:t>
      </w:r>
      <w:r w:rsidR="004D5EDB" w:rsidRPr="002E4D07">
        <w:rPr>
          <w:sz w:val="22"/>
          <w:szCs w:val="22"/>
          <w:lang w:val="en-GB"/>
        </w:rPr>
        <w:t>tender</w:t>
      </w:r>
      <w:r w:rsidR="00C457F5" w:rsidRPr="002E4D07">
        <w:rPr>
          <w:sz w:val="22"/>
          <w:szCs w:val="22"/>
          <w:lang w:val="en-GB"/>
        </w:rPr>
        <w:t xml:space="preserve"> will </w:t>
      </w:r>
      <w:r w:rsidRPr="002E4D07">
        <w:rPr>
          <w:sz w:val="22"/>
          <w:szCs w:val="22"/>
          <w:lang w:val="en-GB"/>
        </w:rPr>
        <w:t>be taken into consideration</w:t>
      </w:r>
      <w:r w:rsidR="00C457F5" w:rsidRPr="002E4D07">
        <w:rPr>
          <w:sz w:val="22"/>
          <w:szCs w:val="22"/>
          <w:lang w:val="en-GB"/>
        </w:rPr>
        <w:t xml:space="preserve"> only for the purpose of verifying technical specification</w:t>
      </w:r>
      <w:r w:rsidRPr="002E4D07">
        <w:rPr>
          <w:sz w:val="22"/>
          <w:szCs w:val="22"/>
          <w:lang w:val="en-GB"/>
        </w:rPr>
        <w:t>.</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Strong"/>
        </w:rPr>
      </w:pPr>
      <w:r w:rsidRPr="002E4D07">
        <w:rPr>
          <w:rStyle w:val="Strong"/>
        </w:rPr>
        <w:t>2</w:t>
      </w:r>
      <w:r w:rsidR="00033EFD" w:rsidRPr="002E4D07">
        <w:rPr>
          <w:rStyle w:val="Strong"/>
        </w:rPr>
        <w:t>2</w:t>
      </w:r>
      <w:r w:rsidR="008272C0" w:rsidRPr="002E4D07">
        <w:rPr>
          <w:rStyle w:val="Strong"/>
        </w:rPr>
        <w:t>.</w:t>
      </w:r>
      <w:r w:rsidR="00FD5083" w:rsidRPr="002E4D07">
        <w:rPr>
          <w:rStyle w:val="Strong"/>
        </w:rPr>
        <w:tab/>
      </w:r>
      <w:r w:rsidR="00E9047D" w:rsidRPr="002E4D07">
        <w:rPr>
          <w:rStyle w:val="Strong"/>
        </w:rPr>
        <w:t>Additional information</w:t>
      </w:r>
    </w:p>
    <w:p w14:paraId="2AC4BD41" w14:textId="21BF3BBD" w:rsidR="007F6AA9" w:rsidRPr="00F9055E" w:rsidRDefault="00AF412E" w:rsidP="008664F0">
      <w:pPr>
        <w:widowControl/>
        <w:snapToGrid w:val="0"/>
        <w:spacing w:after="120"/>
        <w:ind w:left="425"/>
        <w:jc w:val="both"/>
        <w:rPr>
          <w:sz w:val="22"/>
          <w:szCs w:val="22"/>
          <w:lang w:val="en-GB"/>
        </w:rPr>
      </w:pPr>
      <w:r w:rsidRPr="009251CC">
        <w:rPr>
          <w:sz w:val="22"/>
          <w:szCs w:val="22"/>
          <w:lang w:val="en-GB"/>
        </w:rPr>
        <w:t xml:space="preserve">Financial data to be provided by the candidate in the standard application </w:t>
      </w:r>
      <w:r w:rsidR="00CB324C" w:rsidRPr="009251CC">
        <w:rPr>
          <w:sz w:val="22"/>
          <w:szCs w:val="22"/>
          <w:lang w:val="en-GB"/>
        </w:rPr>
        <w:t>form must</w:t>
      </w:r>
      <w:r w:rsidRPr="009251CC">
        <w:rPr>
          <w:sz w:val="22"/>
          <w:szCs w:val="22"/>
          <w:lang w:val="en-GB"/>
        </w:rPr>
        <w:t xml:space="preserve"> be expressed in</w:t>
      </w:r>
      <w:r w:rsidR="009251CC" w:rsidRPr="009251CC">
        <w:rPr>
          <w:sz w:val="22"/>
          <w:szCs w:val="22"/>
          <w:lang w:val="en-GB"/>
        </w:rPr>
        <w:t xml:space="preserve"> RSD.</w:t>
      </w:r>
      <w:r w:rsidRPr="009251CC">
        <w:rPr>
          <w:sz w:val="22"/>
          <w:szCs w:val="22"/>
          <w:lang w:val="en-GB"/>
        </w:rPr>
        <w:t xml:space="preserve"> If applicable, where a candidate refers to amounts originally expressed in a different currency, the conversion to </w:t>
      </w:r>
      <w:r w:rsidR="009251CC" w:rsidRPr="009251CC">
        <w:rPr>
          <w:b/>
          <w:sz w:val="22"/>
          <w:szCs w:val="22"/>
          <w:lang w:val="en-GB"/>
        </w:rPr>
        <w:t>RSD</w:t>
      </w:r>
      <w:r w:rsidRPr="009251CC">
        <w:rPr>
          <w:sz w:val="22"/>
          <w:szCs w:val="22"/>
          <w:lang w:val="en-GB"/>
        </w:rPr>
        <w:t xml:space="preserve"> shall</w:t>
      </w:r>
      <w:r w:rsidRPr="008660AD">
        <w:rPr>
          <w:sz w:val="22"/>
          <w:szCs w:val="22"/>
          <w:lang w:val="en-GB"/>
        </w:rPr>
        <w:t xml:space="preserve"> be made in accordance with the InforEuro </w:t>
      </w:r>
      <w:r w:rsidRPr="00956D8D">
        <w:rPr>
          <w:sz w:val="22"/>
          <w:szCs w:val="22"/>
          <w:lang w:val="en-GB"/>
        </w:rPr>
        <w:t xml:space="preserve">exchange rate of </w:t>
      </w:r>
      <w:r w:rsidR="00CB324C" w:rsidRPr="00956D8D">
        <w:rPr>
          <w:b/>
          <w:bCs/>
          <w:sz w:val="22"/>
          <w:szCs w:val="22"/>
          <w:lang w:val="en-GB"/>
        </w:rPr>
        <w:t>March 2025</w:t>
      </w:r>
      <w:r w:rsidRPr="00956D8D">
        <w:rPr>
          <w:b/>
          <w:sz w:val="22"/>
          <w:szCs w:val="22"/>
          <w:lang w:val="en-GB"/>
        </w:rPr>
        <w:t xml:space="preserve"> </w:t>
      </w:r>
      <w:r w:rsidRPr="00956D8D">
        <w:rPr>
          <w:sz w:val="22"/>
          <w:szCs w:val="22"/>
          <w:lang w:val="en-GB"/>
        </w:rPr>
        <w:t>which</w:t>
      </w:r>
      <w:r w:rsidRPr="008660AD">
        <w:rPr>
          <w:sz w:val="22"/>
          <w:szCs w:val="22"/>
          <w:lang w:val="en-GB"/>
        </w:rPr>
        <w:t xml:space="preserve"> can be found at the following address: </w:t>
      </w:r>
      <w:hyperlink r:id="rId8" w:history="1">
        <w:r w:rsidRPr="008660AD">
          <w:rPr>
            <w:rStyle w:val="Hyperlink"/>
            <w:sz w:val="22"/>
            <w:szCs w:val="22"/>
            <w:lang w:val="en-GB"/>
          </w:rPr>
          <w:t>http://ec.europa.eu/budget/graphs/inforeuro.html</w:t>
        </w:r>
      </w:hyperlink>
      <w:r w:rsidRPr="008660AD">
        <w:rPr>
          <w:sz w:val="22"/>
          <w:szCs w:val="22"/>
          <w:lang w:val="en-GB"/>
        </w:rPr>
        <w:t>.</w:t>
      </w:r>
    </w:p>
    <w:sectPr w:rsidR="007F6AA9" w:rsidRPr="00F9055E" w:rsidSect="00E147D3">
      <w:headerReference w:type="even" r:id="rId9"/>
      <w:headerReference w:type="default" r:id="rId10"/>
      <w:footerReference w:type="even" r:id="rId11"/>
      <w:footerReference w:type="default" r:id="rId12"/>
      <w:headerReference w:type="first" r:id="rId13"/>
      <w:footerReference w:type="firs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714FD" w14:textId="77777777" w:rsidR="000D50F1" w:rsidRDefault="000D50F1">
      <w:r>
        <w:separator/>
      </w:r>
    </w:p>
  </w:endnote>
  <w:endnote w:type="continuationSeparator" w:id="0">
    <w:p w14:paraId="3551FE0B" w14:textId="77777777" w:rsidR="000D50F1" w:rsidRDefault="000D5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031B" w14:textId="77777777" w:rsidR="00371C5B" w:rsidRDefault="00371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EBA12" w14:textId="292A5E0F" w:rsidR="00EF0A8C" w:rsidRPr="00B33EE6" w:rsidRDefault="00FD5083" w:rsidP="00F9055E">
    <w:pPr>
      <w:pStyle w:val="Footer"/>
      <w:tabs>
        <w:tab w:val="clear" w:pos="4320"/>
        <w:tab w:val="clear" w:pos="8640"/>
        <w:tab w:val="right" w:pos="9214"/>
      </w:tabs>
      <w:spacing w:before="120" w:after="0"/>
      <w:rPr>
        <w:b/>
        <w:sz w:val="20"/>
        <w:lang w:val="en-GB"/>
      </w:rPr>
    </w:pPr>
    <w:r>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8664F0">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8664F0">
      <w:rPr>
        <w:rStyle w:val="PageNumber"/>
        <w:noProof/>
        <w:sz w:val="18"/>
        <w:szCs w:val="18"/>
        <w:lang w:val="en-GB"/>
      </w:rPr>
      <w:t>7</w:t>
    </w:r>
    <w:r w:rsidR="00B33EE6" w:rsidRPr="00B33EE6">
      <w:rPr>
        <w:rStyle w:val="PageNumber"/>
        <w:sz w:val="18"/>
        <w:szCs w:val="18"/>
        <w:lang w:val="en-GB"/>
      </w:rPr>
      <w:fldChar w:fldCharType="end"/>
    </w:r>
  </w:p>
  <w:p w14:paraId="77551F46" w14:textId="2A0EDC76"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c2_contractnotice_simp_neg_en.docx</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9E838" w14:textId="77777777" w:rsidR="00371C5B" w:rsidRDefault="00371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DA376" w14:textId="77777777" w:rsidR="000D50F1" w:rsidRDefault="000D50F1">
      <w:r>
        <w:separator/>
      </w:r>
    </w:p>
  </w:footnote>
  <w:footnote w:type="continuationSeparator" w:id="0">
    <w:p w14:paraId="35EFFA61" w14:textId="77777777" w:rsidR="000D50F1" w:rsidRDefault="000D50F1">
      <w:r>
        <w:continuationSeparator/>
      </w:r>
    </w:p>
  </w:footnote>
  <w:footnote w:id="1">
    <w:p w14:paraId="1AF8407E" w14:textId="3551235F" w:rsidR="000B14E4" w:rsidRPr="000B14E4" w:rsidRDefault="000B14E4" w:rsidP="00371C5B">
      <w:pPr>
        <w:pStyle w:val="FootnoteText"/>
        <w:spacing w:before="0" w:after="0"/>
        <w:ind w:left="142" w:hanging="142"/>
      </w:pPr>
      <w:r>
        <w:rPr>
          <w:rStyle w:val="FootnoteReference"/>
        </w:rPr>
        <w:footnoteRef/>
      </w:r>
      <w:r w:rsidR="002845CD">
        <w:tab/>
      </w:r>
      <w:r w:rsidR="009E5C83">
        <w:t>Regulation (EU) 2021/1529 of the European Parliament and of the Council of 15 September 2021 establishing the Instrument for Pre-Accession assistance (IPA III); OJ L 330, 20.9.2021, p. 1</w:t>
      </w:r>
      <w:r w:rsidR="009E5C83" w:rsidRPr="003D2CB4">
        <w:t>–</w:t>
      </w:r>
      <w:r w:rsidR="009E5C83">
        <w:t>26</w:t>
      </w:r>
      <w:r w:rsidR="009E5C83">
        <w:rPr>
          <w:lang w:val="en-GB"/>
        </w:rPr>
        <w:t>.</w:t>
      </w:r>
    </w:p>
  </w:footnote>
  <w:footnote w:id="2">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A7B4E" w14:textId="77777777" w:rsidR="00371C5B" w:rsidRDefault="00371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A43FC" w14:textId="77777777" w:rsidR="00371C5B" w:rsidRDefault="00371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B06EA" w14:textId="77777777" w:rsidR="00371C5B" w:rsidRDefault="00371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77052B"/>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6B0E6D"/>
    <w:multiLevelType w:val="hybridMultilevel"/>
    <w:tmpl w:val="1014277C"/>
    <w:lvl w:ilvl="0" w:tplc="0C8EF8F2">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4"/>
  </w:num>
  <w:num w:numId="40">
    <w:abstractNumId w:val="45"/>
  </w:num>
  <w:num w:numId="41">
    <w:abstractNumId w:val="40"/>
  </w:num>
  <w:num w:numId="42">
    <w:abstractNumId w:val="43"/>
  </w:num>
  <w:num w:numId="43">
    <w:abstractNumId w:val="38"/>
  </w:num>
  <w:num w:numId="44">
    <w:abstractNumId w:val="34"/>
  </w:num>
  <w:num w:numId="45">
    <w:abstractNumId w:val="47"/>
  </w:num>
  <w:num w:numId="46">
    <w:abstractNumId w:val="42"/>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EFD"/>
    <w:rsid w:val="0004080B"/>
    <w:rsid w:val="0004661C"/>
    <w:rsid w:val="00051D1D"/>
    <w:rsid w:val="0005682D"/>
    <w:rsid w:val="00063FB5"/>
    <w:rsid w:val="0007067C"/>
    <w:rsid w:val="00074C11"/>
    <w:rsid w:val="00080900"/>
    <w:rsid w:val="00087A72"/>
    <w:rsid w:val="00095030"/>
    <w:rsid w:val="000A0D57"/>
    <w:rsid w:val="000A3758"/>
    <w:rsid w:val="000B14E4"/>
    <w:rsid w:val="000B693E"/>
    <w:rsid w:val="000B7C91"/>
    <w:rsid w:val="000C1101"/>
    <w:rsid w:val="000C1522"/>
    <w:rsid w:val="000C2759"/>
    <w:rsid w:val="000D1732"/>
    <w:rsid w:val="000D3EBF"/>
    <w:rsid w:val="000D50F1"/>
    <w:rsid w:val="000E4709"/>
    <w:rsid w:val="000F0F6C"/>
    <w:rsid w:val="000F1340"/>
    <w:rsid w:val="000F5DEF"/>
    <w:rsid w:val="0010162C"/>
    <w:rsid w:val="00105302"/>
    <w:rsid w:val="00105ACD"/>
    <w:rsid w:val="0013314C"/>
    <w:rsid w:val="001429BC"/>
    <w:rsid w:val="0014400E"/>
    <w:rsid w:val="0014405E"/>
    <w:rsid w:val="00145CFA"/>
    <w:rsid w:val="00150687"/>
    <w:rsid w:val="001661F7"/>
    <w:rsid w:val="00171B88"/>
    <w:rsid w:val="00171F2E"/>
    <w:rsid w:val="00172785"/>
    <w:rsid w:val="00180D47"/>
    <w:rsid w:val="0018119D"/>
    <w:rsid w:val="001903F3"/>
    <w:rsid w:val="001951FE"/>
    <w:rsid w:val="001A59BB"/>
    <w:rsid w:val="001A66C2"/>
    <w:rsid w:val="001B2571"/>
    <w:rsid w:val="001C21A2"/>
    <w:rsid w:val="001C64F1"/>
    <w:rsid w:val="001D19A6"/>
    <w:rsid w:val="001D55F7"/>
    <w:rsid w:val="001D68E8"/>
    <w:rsid w:val="001D7B2B"/>
    <w:rsid w:val="001E50A2"/>
    <w:rsid w:val="001F0839"/>
    <w:rsid w:val="001F1546"/>
    <w:rsid w:val="001F780C"/>
    <w:rsid w:val="00201320"/>
    <w:rsid w:val="002065E9"/>
    <w:rsid w:val="002078BB"/>
    <w:rsid w:val="00212656"/>
    <w:rsid w:val="00213E14"/>
    <w:rsid w:val="00216179"/>
    <w:rsid w:val="00217CFD"/>
    <w:rsid w:val="00226829"/>
    <w:rsid w:val="00233B9D"/>
    <w:rsid w:val="00233DDA"/>
    <w:rsid w:val="00235A71"/>
    <w:rsid w:val="00236C83"/>
    <w:rsid w:val="002413EA"/>
    <w:rsid w:val="00243849"/>
    <w:rsid w:val="00257327"/>
    <w:rsid w:val="002575AA"/>
    <w:rsid w:val="00266EB9"/>
    <w:rsid w:val="002753AD"/>
    <w:rsid w:val="002845CD"/>
    <w:rsid w:val="00287536"/>
    <w:rsid w:val="00297AB7"/>
    <w:rsid w:val="002B2145"/>
    <w:rsid w:val="002D266E"/>
    <w:rsid w:val="002D4121"/>
    <w:rsid w:val="002E1B83"/>
    <w:rsid w:val="002E25ED"/>
    <w:rsid w:val="002E2635"/>
    <w:rsid w:val="002E4D07"/>
    <w:rsid w:val="002E7D33"/>
    <w:rsid w:val="002F4E69"/>
    <w:rsid w:val="003045C3"/>
    <w:rsid w:val="00313F6B"/>
    <w:rsid w:val="00322D52"/>
    <w:rsid w:val="003232ED"/>
    <w:rsid w:val="00323BDD"/>
    <w:rsid w:val="003262FC"/>
    <w:rsid w:val="00326B16"/>
    <w:rsid w:val="00330261"/>
    <w:rsid w:val="00332792"/>
    <w:rsid w:val="00336E66"/>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608C"/>
    <w:rsid w:val="00397073"/>
    <w:rsid w:val="003A4357"/>
    <w:rsid w:val="003B1B35"/>
    <w:rsid w:val="003C1515"/>
    <w:rsid w:val="003C2DE5"/>
    <w:rsid w:val="003C3AAD"/>
    <w:rsid w:val="003D16FB"/>
    <w:rsid w:val="003D6CAD"/>
    <w:rsid w:val="003E782D"/>
    <w:rsid w:val="0040360C"/>
    <w:rsid w:val="004108A4"/>
    <w:rsid w:val="00424124"/>
    <w:rsid w:val="0043533D"/>
    <w:rsid w:val="00452ED8"/>
    <w:rsid w:val="0045494F"/>
    <w:rsid w:val="004563EB"/>
    <w:rsid w:val="004567DF"/>
    <w:rsid w:val="00472630"/>
    <w:rsid w:val="00473883"/>
    <w:rsid w:val="00475A03"/>
    <w:rsid w:val="00476D80"/>
    <w:rsid w:val="00480B5C"/>
    <w:rsid w:val="00480C87"/>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2E9E"/>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E0568"/>
    <w:rsid w:val="005F0AF0"/>
    <w:rsid w:val="005F776D"/>
    <w:rsid w:val="0060359F"/>
    <w:rsid w:val="0061336A"/>
    <w:rsid w:val="006277AA"/>
    <w:rsid w:val="006309DE"/>
    <w:rsid w:val="00632BDC"/>
    <w:rsid w:val="0064390B"/>
    <w:rsid w:val="00653788"/>
    <w:rsid w:val="00663C6D"/>
    <w:rsid w:val="00663C8C"/>
    <w:rsid w:val="006714ED"/>
    <w:rsid w:val="006738B9"/>
    <w:rsid w:val="00674F9C"/>
    <w:rsid w:val="006751D2"/>
    <w:rsid w:val="006770CA"/>
    <w:rsid w:val="00686C3A"/>
    <w:rsid w:val="00691544"/>
    <w:rsid w:val="00697F82"/>
    <w:rsid w:val="006A0598"/>
    <w:rsid w:val="006A66DA"/>
    <w:rsid w:val="006A7394"/>
    <w:rsid w:val="006A7E38"/>
    <w:rsid w:val="006B2EDA"/>
    <w:rsid w:val="006B59B9"/>
    <w:rsid w:val="006C0EB6"/>
    <w:rsid w:val="006C0F37"/>
    <w:rsid w:val="006C2024"/>
    <w:rsid w:val="006D330F"/>
    <w:rsid w:val="006D6080"/>
    <w:rsid w:val="006E3377"/>
    <w:rsid w:val="006E58D6"/>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6F87"/>
    <w:rsid w:val="00862885"/>
    <w:rsid w:val="008660AD"/>
    <w:rsid w:val="008664F0"/>
    <w:rsid w:val="0087086B"/>
    <w:rsid w:val="00870FC9"/>
    <w:rsid w:val="00881C2D"/>
    <w:rsid w:val="00886ED7"/>
    <w:rsid w:val="00894E29"/>
    <w:rsid w:val="0089693D"/>
    <w:rsid w:val="008A1184"/>
    <w:rsid w:val="008A1514"/>
    <w:rsid w:val="008B0830"/>
    <w:rsid w:val="008B77CD"/>
    <w:rsid w:val="008C3178"/>
    <w:rsid w:val="008C68A0"/>
    <w:rsid w:val="008D1243"/>
    <w:rsid w:val="008D3E45"/>
    <w:rsid w:val="008E13D5"/>
    <w:rsid w:val="008E2D12"/>
    <w:rsid w:val="008F294D"/>
    <w:rsid w:val="009017AA"/>
    <w:rsid w:val="009055F3"/>
    <w:rsid w:val="0090581D"/>
    <w:rsid w:val="009066B6"/>
    <w:rsid w:val="00907556"/>
    <w:rsid w:val="00913817"/>
    <w:rsid w:val="0092504E"/>
    <w:rsid w:val="009251CC"/>
    <w:rsid w:val="00925F7F"/>
    <w:rsid w:val="009260B8"/>
    <w:rsid w:val="0092731B"/>
    <w:rsid w:val="009317C0"/>
    <w:rsid w:val="009352F4"/>
    <w:rsid w:val="00940E1D"/>
    <w:rsid w:val="009510CB"/>
    <w:rsid w:val="00952960"/>
    <w:rsid w:val="00954FB8"/>
    <w:rsid w:val="00956BA0"/>
    <w:rsid w:val="00956D8D"/>
    <w:rsid w:val="0096032B"/>
    <w:rsid w:val="009633A9"/>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07AF6"/>
    <w:rsid w:val="00A11931"/>
    <w:rsid w:val="00A171EA"/>
    <w:rsid w:val="00A22177"/>
    <w:rsid w:val="00A236A4"/>
    <w:rsid w:val="00A35081"/>
    <w:rsid w:val="00A36F1C"/>
    <w:rsid w:val="00A433A6"/>
    <w:rsid w:val="00A43E7A"/>
    <w:rsid w:val="00A46ED3"/>
    <w:rsid w:val="00A504E1"/>
    <w:rsid w:val="00A609E7"/>
    <w:rsid w:val="00A665B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35A7"/>
    <w:rsid w:val="00AF412E"/>
    <w:rsid w:val="00AF7BB3"/>
    <w:rsid w:val="00B00363"/>
    <w:rsid w:val="00B063F9"/>
    <w:rsid w:val="00B06D60"/>
    <w:rsid w:val="00B112A1"/>
    <w:rsid w:val="00B14398"/>
    <w:rsid w:val="00B17505"/>
    <w:rsid w:val="00B200AF"/>
    <w:rsid w:val="00B21F19"/>
    <w:rsid w:val="00B26A26"/>
    <w:rsid w:val="00B27B8B"/>
    <w:rsid w:val="00B33EE6"/>
    <w:rsid w:val="00B40A1E"/>
    <w:rsid w:val="00B46840"/>
    <w:rsid w:val="00B503CB"/>
    <w:rsid w:val="00B50F8D"/>
    <w:rsid w:val="00B5423B"/>
    <w:rsid w:val="00B60EC5"/>
    <w:rsid w:val="00B738A7"/>
    <w:rsid w:val="00B7586A"/>
    <w:rsid w:val="00B766F9"/>
    <w:rsid w:val="00B805A5"/>
    <w:rsid w:val="00B83DA1"/>
    <w:rsid w:val="00B84AED"/>
    <w:rsid w:val="00B875B0"/>
    <w:rsid w:val="00B90EE0"/>
    <w:rsid w:val="00B92478"/>
    <w:rsid w:val="00B9793F"/>
    <w:rsid w:val="00BA0765"/>
    <w:rsid w:val="00BA44A3"/>
    <w:rsid w:val="00BA7C3E"/>
    <w:rsid w:val="00BB2689"/>
    <w:rsid w:val="00BC1369"/>
    <w:rsid w:val="00BC353E"/>
    <w:rsid w:val="00BD65BA"/>
    <w:rsid w:val="00BD69EF"/>
    <w:rsid w:val="00BE08EC"/>
    <w:rsid w:val="00BE3544"/>
    <w:rsid w:val="00BE3618"/>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30183"/>
    <w:rsid w:val="00C316FC"/>
    <w:rsid w:val="00C3644F"/>
    <w:rsid w:val="00C36666"/>
    <w:rsid w:val="00C43AAC"/>
    <w:rsid w:val="00C457F5"/>
    <w:rsid w:val="00C460D8"/>
    <w:rsid w:val="00C52B1A"/>
    <w:rsid w:val="00C5322B"/>
    <w:rsid w:val="00C61B8C"/>
    <w:rsid w:val="00C640A4"/>
    <w:rsid w:val="00C712DE"/>
    <w:rsid w:val="00C836E5"/>
    <w:rsid w:val="00C83C65"/>
    <w:rsid w:val="00C840D0"/>
    <w:rsid w:val="00C843AC"/>
    <w:rsid w:val="00C867B9"/>
    <w:rsid w:val="00C901FB"/>
    <w:rsid w:val="00CA3B1B"/>
    <w:rsid w:val="00CB23E3"/>
    <w:rsid w:val="00CB2A5B"/>
    <w:rsid w:val="00CB324C"/>
    <w:rsid w:val="00CB5DD8"/>
    <w:rsid w:val="00CB759D"/>
    <w:rsid w:val="00CB7AAE"/>
    <w:rsid w:val="00CC0A41"/>
    <w:rsid w:val="00CC3BA0"/>
    <w:rsid w:val="00CC48C9"/>
    <w:rsid w:val="00CD765A"/>
    <w:rsid w:val="00CE49A1"/>
    <w:rsid w:val="00CF759C"/>
    <w:rsid w:val="00D00216"/>
    <w:rsid w:val="00D011CD"/>
    <w:rsid w:val="00D06A30"/>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389A"/>
    <w:rsid w:val="00D97139"/>
    <w:rsid w:val="00DA0ABA"/>
    <w:rsid w:val="00DA388D"/>
    <w:rsid w:val="00DC0253"/>
    <w:rsid w:val="00DC4F70"/>
    <w:rsid w:val="00DC753D"/>
    <w:rsid w:val="00DD0CD4"/>
    <w:rsid w:val="00DE3C11"/>
    <w:rsid w:val="00DE482B"/>
    <w:rsid w:val="00DE74EC"/>
    <w:rsid w:val="00DF04F0"/>
    <w:rsid w:val="00E128DF"/>
    <w:rsid w:val="00E147D3"/>
    <w:rsid w:val="00E1782A"/>
    <w:rsid w:val="00E21BC3"/>
    <w:rsid w:val="00E23A94"/>
    <w:rsid w:val="00E30BB5"/>
    <w:rsid w:val="00E31447"/>
    <w:rsid w:val="00E33412"/>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3C45"/>
    <w:rsid w:val="00F36AE6"/>
    <w:rsid w:val="00F46873"/>
    <w:rsid w:val="00F4786D"/>
    <w:rsid w:val="00F504CC"/>
    <w:rsid w:val="00F50E8B"/>
    <w:rsid w:val="00F54DAC"/>
    <w:rsid w:val="00F60220"/>
    <w:rsid w:val="00F76A8F"/>
    <w:rsid w:val="00F77C8A"/>
    <w:rsid w:val="00F86AAA"/>
    <w:rsid w:val="00F9055E"/>
    <w:rsid w:val="00F91683"/>
    <w:rsid w:val="00F95C1A"/>
    <w:rsid w:val="00FA17FC"/>
    <w:rsid w:val="00FB17AC"/>
    <w:rsid w:val="00FC622D"/>
    <w:rsid w:val="00FD5083"/>
    <w:rsid w:val="00FD6B5D"/>
    <w:rsid w:val="00FD7C42"/>
    <w:rsid w:val="00FE4D9A"/>
    <w:rsid w:val="00FE4E4B"/>
    <w:rsid w:val="00FE5497"/>
    <w:rsid w:val="00FE62A5"/>
    <w:rsid w:val="00FE6A9C"/>
    <w:rsid w:val="00FE6CB8"/>
    <w:rsid w:val="00FF1872"/>
    <w:rsid w:val="00FF7B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DB8AC-459F-4EE4-B6DC-C4092E3A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2441</Words>
  <Characters>13918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16327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Korisnik</cp:lastModifiedBy>
  <cp:revision>28</cp:revision>
  <cp:lastPrinted>2024-06-14T12:45:00Z</cp:lastPrinted>
  <dcterms:created xsi:type="dcterms:W3CDTF">2024-06-17T14:03:00Z</dcterms:created>
  <dcterms:modified xsi:type="dcterms:W3CDTF">2025-03-28T11:24:00Z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